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97" w:rsidRDefault="003D4547" w:rsidP="003D4547">
      <w:pPr>
        <w:spacing w:after="0"/>
      </w:pPr>
      <w: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533128320" r:id="rId6"/>
        </w:object>
      </w:r>
    </w:p>
    <w:p w:rsidR="003D4547" w:rsidRDefault="00CC2887" w:rsidP="00BC4DE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3D4547" w:rsidRPr="003D4547">
        <w:rPr>
          <w:b/>
          <w:sz w:val="26"/>
          <w:szCs w:val="26"/>
        </w:rPr>
        <w:t>GRADSKO VIJEĆE</w:t>
      </w:r>
    </w:p>
    <w:p w:rsidR="003D4547" w:rsidRPr="00C6151C" w:rsidRDefault="003D4547" w:rsidP="00BC4DEC">
      <w:pPr>
        <w:spacing w:after="0" w:line="240" w:lineRule="auto"/>
        <w:rPr>
          <w:sz w:val="26"/>
          <w:szCs w:val="26"/>
        </w:rPr>
      </w:pPr>
      <w:r w:rsidRPr="00C6151C">
        <w:rPr>
          <w:sz w:val="26"/>
          <w:szCs w:val="26"/>
        </w:rPr>
        <w:t xml:space="preserve">KLASA: </w:t>
      </w:r>
      <w:r w:rsidR="00776932">
        <w:rPr>
          <w:sz w:val="26"/>
          <w:szCs w:val="26"/>
        </w:rPr>
        <w:t>4</w:t>
      </w:r>
      <w:r w:rsidR="004D2B67" w:rsidRPr="00C6151C">
        <w:rPr>
          <w:sz w:val="26"/>
          <w:szCs w:val="26"/>
        </w:rPr>
        <w:t>02-0</w:t>
      </w:r>
      <w:r w:rsidR="00776932">
        <w:rPr>
          <w:sz w:val="26"/>
          <w:szCs w:val="26"/>
        </w:rPr>
        <w:t>9</w:t>
      </w:r>
      <w:r w:rsidR="004D2B67" w:rsidRPr="00C6151C">
        <w:rPr>
          <w:sz w:val="26"/>
          <w:szCs w:val="26"/>
        </w:rPr>
        <w:t>/16-01/0</w:t>
      </w:r>
      <w:r w:rsidR="00776932">
        <w:rPr>
          <w:sz w:val="26"/>
          <w:szCs w:val="26"/>
        </w:rPr>
        <w:t>2</w:t>
      </w:r>
    </w:p>
    <w:p w:rsidR="003D4547" w:rsidRPr="00C6151C" w:rsidRDefault="003D4547" w:rsidP="00213F64">
      <w:pPr>
        <w:spacing w:after="0" w:line="240" w:lineRule="auto"/>
        <w:rPr>
          <w:sz w:val="26"/>
          <w:szCs w:val="26"/>
        </w:rPr>
      </w:pPr>
      <w:r w:rsidRPr="00C6151C">
        <w:rPr>
          <w:sz w:val="26"/>
          <w:szCs w:val="26"/>
        </w:rPr>
        <w:t xml:space="preserve">URBROJ: </w:t>
      </w:r>
      <w:r w:rsidR="004D2B67" w:rsidRPr="00C6151C">
        <w:rPr>
          <w:bCs/>
          <w:sz w:val="26"/>
          <w:szCs w:val="26"/>
        </w:rPr>
        <w:t>2186/18-02/1-16-</w:t>
      </w:r>
      <w:r w:rsidR="00776932">
        <w:rPr>
          <w:bCs/>
          <w:sz w:val="26"/>
          <w:szCs w:val="26"/>
        </w:rPr>
        <w:t>7</w:t>
      </w:r>
    </w:p>
    <w:p w:rsidR="008F3C77" w:rsidRDefault="003D4547" w:rsidP="00BC4DEC">
      <w:pPr>
        <w:tabs>
          <w:tab w:val="left" w:pos="6630"/>
        </w:tabs>
        <w:spacing w:after="0" w:line="240" w:lineRule="auto"/>
        <w:rPr>
          <w:sz w:val="24"/>
          <w:szCs w:val="24"/>
        </w:rPr>
      </w:pPr>
      <w:r w:rsidRPr="00C6151C">
        <w:rPr>
          <w:sz w:val="26"/>
          <w:szCs w:val="26"/>
        </w:rPr>
        <w:t>U Ludbregu, 26.</w:t>
      </w:r>
      <w:r w:rsidR="009516CC" w:rsidRPr="00C6151C">
        <w:rPr>
          <w:sz w:val="26"/>
          <w:szCs w:val="26"/>
        </w:rPr>
        <w:t>kolovoza</w:t>
      </w:r>
      <w:r w:rsidRPr="00C6151C">
        <w:rPr>
          <w:sz w:val="26"/>
          <w:szCs w:val="26"/>
        </w:rPr>
        <w:t xml:space="preserve"> 201</w:t>
      </w:r>
      <w:r w:rsidR="009516CC" w:rsidRPr="00C6151C">
        <w:rPr>
          <w:sz w:val="26"/>
          <w:szCs w:val="26"/>
        </w:rPr>
        <w:t>6</w:t>
      </w:r>
      <w:r w:rsidRPr="00C6151C">
        <w:rPr>
          <w:sz w:val="26"/>
          <w:szCs w:val="26"/>
        </w:rPr>
        <w:t>.</w:t>
      </w:r>
    </w:p>
    <w:p w:rsidR="003D4547" w:rsidRPr="00CC2887" w:rsidRDefault="00BC4DEC" w:rsidP="00BC4DEC">
      <w:pPr>
        <w:tabs>
          <w:tab w:val="left" w:pos="6630"/>
        </w:tabs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C2887">
        <w:rPr>
          <w:b/>
          <w:i/>
          <w:sz w:val="24"/>
          <w:szCs w:val="24"/>
          <w:u w:val="single"/>
        </w:rPr>
        <w:t>- P R I J E D L O G -</w:t>
      </w:r>
    </w:p>
    <w:p w:rsidR="003D4547" w:rsidRDefault="003D4547" w:rsidP="003D4547">
      <w:pPr>
        <w:spacing w:after="0"/>
        <w:rPr>
          <w:sz w:val="26"/>
          <w:szCs w:val="26"/>
        </w:rPr>
      </w:pPr>
    </w:p>
    <w:p w:rsidR="00213F64" w:rsidRPr="00BC4DEC" w:rsidRDefault="00213F64" w:rsidP="00213F64">
      <w:pPr>
        <w:spacing w:after="0" w:line="240" w:lineRule="auto"/>
        <w:ind w:firstLine="708"/>
        <w:jc w:val="both"/>
        <w:rPr>
          <w:rFonts w:eastAsia="Times New Roman" w:cs="Arial"/>
          <w:sz w:val="26"/>
          <w:szCs w:val="26"/>
        </w:rPr>
      </w:pPr>
      <w:r w:rsidRPr="00BC4DEC">
        <w:rPr>
          <w:rFonts w:eastAsia="Times New Roman" w:cs="Arial"/>
          <w:sz w:val="26"/>
          <w:szCs w:val="26"/>
        </w:rPr>
        <w:t>Na temelju članka 35. Zakona o lokalnoj i područnoj (regionalnoj) samoupravi («Narodne novine» br. 33/01, 60/01 - vjerodostojno tumačenje, 129/05, 109/07, 125/08, 36/09, 150/11, 144/12, 19/13 – pročišćeni tekst</w:t>
      </w:r>
      <w:r w:rsidR="004C5DAB">
        <w:rPr>
          <w:rFonts w:eastAsia="Times New Roman" w:cs="Arial"/>
          <w:sz w:val="26"/>
          <w:szCs w:val="26"/>
        </w:rPr>
        <w:t>, 137/15</w:t>
      </w:r>
      <w:bookmarkStart w:id="0" w:name="_GoBack"/>
      <w:bookmarkEnd w:id="0"/>
      <w:r w:rsidRPr="00BC4DEC">
        <w:rPr>
          <w:rFonts w:eastAsia="Times New Roman" w:cs="Arial"/>
          <w:sz w:val="26"/>
          <w:szCs w:val="26"/>
        </w:rPr>
        <w:t xml:space="preserve">) i članka 33. Statuta Grada Ludbrega («Službeni vjesnik Varaždinske županije» br. 23/09, 17/13, 40/13 – pročišćeni tekst ), Gradsko Vijeće Grada Ludbrega na </w:t>
      </w:r>
      <w:r w:rsidR="009516CC">
        <w:rPr>
          <w:rFonts w:eastAsia="Times New Roman" w:cs="Arial"/>
          <w:sz w:val="26"/>
          <w:szCs w:val="26"/>
        </w:rPr>
        <w:t>25. sjednici održanoj 26. kolovoza</w:t>
      </w:r>
      <w:r w:rsidRPr="00BC4DEC">
        <w:rPr>
          <w:rFonts w:eastAsia="Times New Roman" w:cs="Arial"/>
          <w:sz w:val="26"/>
          <w:szCs w:val="26"/>
        </w:rPr>
        <w:t xml:space="preserve"> 201</w:t>
      </w:r>
      <w:r w:rsidR="009516CC">
        <w:rPr>
          <w:rFonts w:eastAsia="Times New Roman" w:cs="Arial"/>
          <w:sz w:val="26"/>
          <w:szCs w:val="26"/>
        </w:rPr>
        <w:t>6</w:t>
      </w:r>
      <w:r w:rsidRPr="00BC4DEC">
        <w:rPr>
          <w:rFonts w:eastAsia="Times New Roman" w:cs="Arial"/>
          <w:sz w:val="26"/>
          <w:szCs w:val="26"/>
        </w:rPr>
        <w:t>. godine donijelo je slijedeću</w:t>
      </w:r>
    </w:p>
    <w:p w:rsidR="00213F64" w:rsidRDefault="00213F64" w:rsidP="00213F64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</w:p>
    <w:p w:rsidR="008F3C77" w:rsidRPr="00CC2887" w:rsidRDefault="008F3C77" w:rsidP="00213F64">
      <w:pPr>
        <w:pStyle w:val="StandardWeb"/>
        <w:spacing w:before="0" w:after="0"/>
        <w:jc w:val="both"/>
        <w:rPr>
          <w:rFonts w:asciiTheme="minorHAnsi" w:hAnsiTheme="minorHAnsi" w:cs="Times New Roman"/>
          <w:sz w:val="28"/>
          <w:szCs w:val="28"/>
        </w:rPr>
      </w:pPr>
    </w:p>
    <w:p w:rsidR="00213F64" w:rsidRDefault="00213F64" w:rsidP="00213F64">
      <w:pPr>
        <w:pStyle w:val="StandardWeb"/>
        <w:spacing w:before="0" w:after="0"/>
        <w:jc w:val="center"/>
        <w:rPr>
          <w:rFonts w:asciiTheme="minorHAnsi" w:hAnsiTheme="minorHAnsi" w:cs="Times New Roman"/>
          <w:b/>
          <w:bCs/>
          <w:sz w:val="26"/>
          <w:szCs w:val="26"/>
        </w:rPr>
      </w:pPr>
      <w:r w:rsidRPr="00CC2887">
        <w:rPr>
          <w:rFonts w:asciiTheme="minorHAnsi" w:hAnsiTheme="minorHAnsi" w:cs="Times New Roman"/>
          <w:b/>
          <w:bCs/>
          <w:sz w:val="28"/>
          <w:szCs w:val="28"/>
        </w:rPr>
        <w:t>ODLUKU</w:t>
      </w:r>
      <w:r w:rsidRPr="00BC4DEC">
        <w:rPr>
          <w:rFonts w:asciiTheme="minorHAnsi" w:hAnsiTheme="minorHAnsi" w:cs="Times New Roman"/>
          <w:b/>
          <w:bCs/>
          <w:sz w:val="26"/>
          <w:szCs w:val="26"/>
        </w:rPr>
        <w:br/>
        <w:t xml:space="preserve">o </w:t>
      </w:r>
      <w:r w:rsidR="009516CC">
        <w:rPr>
          <w:rFonts w:asciiTheme="minorHAnsi" w:hAnsiTheme="minorHAnsi" w:cs="Times New Roman"/>
          <w:b/>
          <w:bCs/>
          <w:sz w:val="26"/>
          <w:szCs w:val="26"/>
        </w:rPr>
        <w:t>izmjeni i dopuni Strategije</w:t>
      </w:r>
      <w:r w:rsidR="004D2B67">
        <w:rPr>
          <w:rFonts w:asciiTheme="minorHAnsi" w:hAnsiTheme="minorHAnsi" w:cs="Times New Roman"/>
          <w:b/>
          <w:bCs/>
          <w:sz w:val="26"/>
          <w:szCs w:val="26"/>
        </w:rPr>
        <w:t xml:space="preserve"> razvoja Grada Ludbrega 2014.-2020.</w:t>
      </w:r>
    </w:p>
    <w:p w:rsidR="00CB15E7" w:rsidRPr="00BC4DEC" w:rsidRDefault="00CB15E7" w:rsidP="00213F64">
      <w:pPr>
        <w:pStyle w:val="StandardWeb"/>
        <w:spacing w:before="0" w:after="0"/>
        <w:jc w:val="center"/>
        <w:rPr>
          <w:rFonts w:asciiTheme="minorHAnsi" w:hAnsiTheme="minorHAnsi" w:cs="Times New Roman"/>
          <w:sz w:val="26"/>
          <w:szCs w:val="26"/>
        </w:rPr>
      </w:pPr>
    </w:p>
    <w:p w:rsidR="00213F64" w:rsidRPr="00BC4DEC" w:rsidRDefault="00213F64" w:rsidP="00213F64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</w:p>
    <w:p w:rsidR="00213F64" w:rsidRDefault="00213F64" w:rsidP="00213F64">
      <w:pPr>
        <w:pStyle w:val="StandardWeb"/>
        <w:spacing w:before="0" w:after="0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BC4DEC">
        <w:rPr>
          <w:rFonts w:asciiTheme="minorHAnsi" w:hAnsiTheme="minorHAnsi" w:cs="Times New Roman"/>
          <w:b/>
          <w:sz w:val="26"/>
          <w:szCs w:val="26"/>
        </w:rPr>
        <w:t>Članak 1.</w:t>
      </w:r>
    </w:p>
    <w:p w:rsidR="00CC2887" w:rsidRPr="00BC4DEC" w:rsidRDefault="00CC2887" w:rsidP="00CC2887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</w:p>
    <w:p w:rsidR="00213F64" w:rsidRPr="004D2B67" w:rsidRDefault="00CC2887" w:rsidP="00CC2887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ab/>
      </w:r>
      <w:r w:rsidR="00213F64" w:rsidRPr="004D2B67">
        <w:rPr>
          <w:rFonts w:asciiTheme="minorHAnsi" w:hAnsiTheme="minorHAnsi" w:cs="Times New Roman"/>
          <w:sz w:val="26"/>
          <w:szCs w:val="26"/>
        </w:rPr>
        <w:t xml:space="preserve">Gradsko vijeće Grada Ludbrega donosi </w:t>
      </w:r>
      <w:r w:rsidR="008F3C77">
        <w:rPr>
          <w:rFonts w:asciiTheme="minorHAnsi" w:hAnsiTheme="minorHAnsi" w:cs="Times New Roman"/>
          <w:sz w:val="26"/>
          <w:szCs w:val="26"/>
        </w:rPr>
        <w:t>O</w:t>
      </w:r>
      <w:r w:rsidR="00213F64" w:rsidRPr="004D2B67">
        <w:rPr>
          <w:rFonts w:asciiTheme="minorHAnsi" w:hAnsiTheme="minorHAnsi" w:cs="Times New Roman"/>
          <w:sz w:val="26"/>
          <w:szCs w:val="26"/>
        </w:rPr>
        <w:t xml:space="preserve">dluku o </w:t>
      </w:r>
      <w:r w:rsidR="004D2B67" w:rsidRPr="004D2B67">
        <w:rPr>
          <w:rFonts w:asciiTheme="minorHAnsi" w:hAnsiTheme="minorHAnsi" w:cs="Times New Roman"/>
          <w:sz w:val="26"/>
          <w:szCs w:val="26"/>
        </w:rPr>
        <w:t xml:space="preserve">izmjeni i dopuni Strategije </w:t>
      </w:r>
      <w:r w:rsidR="004D2B67" w:rsidRPr="004D2B67">
        <w:rPr>
          <w:rFonts w:asciiTheme="minorHAnsi" w:hAnsiTheme="minorHAnsi" w:cs="Times New Roman"/>
          <w:bCs/>
          <w:sz w:val="26"/>
          <w:szCs w:val="26"/>
        </w:rPr>
        <w:t>razvoja Grada Ludbrega 2014.-2020.</w:t>
      </w:r>
      <w:r w:rsidR="00213F64" w:rsidRPr="004D2B67">
        <w:rPr>
          <w:rFonts w:asciiTheme="minorHAnsi" w:hAnsiTheme="minorHAnsi" w:cs="Times New Roman"/>
          <w:sz w:val="26"/>
          <w:szCs w:val="26"/>
        </w:rPr>
        <w:t xml:space="preserve"> (dalje u tekstu: Strategija).</w:t>
      </w:r>
    </w:p>
    <w:p w:rsidR="00213F64" w:rsidRPr="004D2B67" w:rsidRDefault="00213F64" w:rsidP="00213F64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</w:p>
    <w:p w:rsidR="00213F64" w:rsidRDefault="00213F64" w:rsidP="00213F64">
      <w:pPr>
        <w:pStyle w:val="StandardWeb"/>
        <w:spacing w:before="0" w:after="0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BC4DEC">
        <w:rPr>
          <w:rFonts w:asciiTheme="minorHAnsi" w:hAnsiTheme="minorHAnsi" w:cs="Times New Roman"/>
          <w:b/>
          <w:sz w:val="26"/>
          <w:szCs w:val="26"/>
        </w:rPr>
        <w:t>Članak 2.</w:t>
      </w:r>
    </w:p>
    <w:p w:rsidR="00CC2887" w:rsidRPr="00BC4DEC" w:rsidRDefault="00CC2887" w:rsidP="00213F64">
      <w:pPr>
        <w:pStyle w:val="StandardWeb"/>
        <w:spacing w:before="0" w:after="0"/>
        <w:jc w:val="center"/>
        <w:rPr>
          <w:rFonts w:asciiTheme="minorHAnsi" w:hAnsiTheme="minorHAnsi" w:cs="Times New Roman"/>
          <w:sz w:val="26"/>
          <w:szCs w:val="26"/>
        </w:rPr>
      </w:pPr>
    </w:p>
    <w:p w:rsidR="00213F64" w:rsidRPr="00BC4DEC" w:rsidRDefault="00CC2887" w:rsidP="00CC2887">
      <w:pPr>
        <w:tabs>
          <w:tab w:val="left" w:pos="540"/>
          <w:tab w:val="center" w:pos="4536"/>
        </w:tabs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213F64" w:rsidRPr="00C6151C">
        <w:rPr>
          <w:rFonts w:cs="Times New Roman"/>
          <w:sz w:val="26"/>
          <w:szCs w:val="26"/>
        </w:rPr>
        <w:t xml:space="preserve">Osnovni cilj </w:t>
      </w:r>
      <w:r w:rsidR="004D2B67" w:rsidRPr="00C6151C">
        <w:rPr>
          <w:rFonts w:cs="Times New Roman"/>
          <w:sz w:val="26"/>
          <w:szCs w:val="26"/>
        </w:rPr>
        <w:t>izmjene i dopune</w:t>
      </w:r>
      <w:r w:rsidR="00213F64" w:rsidRPr="00C6151C">
        <w:rPr>
          <w:rFonts w:cs="Times New Roman"/>
          <w:sz w:val="26"/>
          <w:szCs w:val="26"/>
        </w:rPr>
        <w:t xml:space="preserve"> Strategije je </w:t>
      </w:r>
      <w:r w:rsidR="00C6151C" w:rsidRPr="00C6151C">
        <w:rPr>
          <w:bCs/>
          <w:sz w:val="26"/>
          <w:szCs w:val="26"/>
        </w:rPr>
        <w:t>nadogradnj</w:t>
      </w:r>
      <w:r w:rsidR="00C6151C">
        <w:rPr>
          <w:bCs/>
          <w:sz w:val="26"/>
          <w:szCs w:val="26"/>
        </w:rPr>
        <w:t xml:space="preserve">a </w:t>
      </w:r>
      <w:r w:rsidR="008F3C77">
        <w:rPr>
          <w:bCs/>
          <w:sz w:val="26"/>
          <w:szCs w:val="26"/>
        </w:rPr>
        <w:t xml:space="preserve">postojeće </w:t>
      </w:r>
      <w:r w:rsidR="00C6151C" w:rsidRPr="00C6151C">
        <w:rPr>
          <w:bCs/>
          <w:sz w:val="26"/>
          <w:szCs w:val="26"/>
        </w:rPr>
        <w:t>razvojn</w:t>
      </w:r>
      <w:r w:rsidR="00C6151C">
        <w:rPr>
          <w:bCs/>
          <w:sz w:val="26"/>
          <w:szCs w:val="26"/>
        </w:rPr>
        <w:t>e</w:t>
      </w:r>
      <w:r w:rsidR="00C6151C" w:rsidRPr="00C6151C">
        <w:rPr>
          <w:bCs/>
          <w:sz w:val="26"/>
          <w:szCs w:val="26"/>
        </w:rPr>
        <w:t xml:space="preserve"> strategij</w:t>
      </w:r>
      <w:r w:rsidR="00C6151C">
        <w:rPr>
          <w:bCs/>
          <w:sz w:val="26"/>
          <w:szCs w:val="26"/>
        </w:rPr>
        <w:t>e</w:t>
      </w:r>
      <w:r w:rsidR="00C6151C" w:rsidRPr="00C6151C">
        <w:rPr>
          <w:bCs/>
          <w:sz w:val="26"/>
          <w:szCs w:val="26"/>
        </w:rPr>
        <w:t xml:space="preserve"> da bi na što bolji način iskoristili potencijal</w:t>
      </w:r>
      <w:r w:rsidR="008F3C77">
        <w:rPr>
          <w:bCs/>
          <w:sz w:val="26"/>
          <w:szCs w:val="26"/>
        </w:rPr>
        <w:t>i</w:t>
      </w:r>
      <w:r w:rsidR="00C6151C" w:rsidRPr="00C6151C">
        <w:rPr>
          <w:bCs/>
          <w:sz w:val="26"/>
          <w:szCs w:val="26"/>
        </w:rPr>
        <w:t xml:space="preserve"> novih tehnologija i inovativn</w:t>
      </w:r>
      <w:r w:rsidR="00C6151C">
        <w:rPr>
          <w:bCs/>
          <w:sz w:val="26"/>
          <w:szCs w:val="26"/>
        </w:rPr>
        <w:t>i</w:t>
      </w:r>
      <w:r w:rsidR="00C6151C" w:rsidRPr="00C6151C">
        <w:rPr>
          <w:bCs/>
          <w:sz w:val="26"/>
          <w:szCs w:val="26"/>
        </w:rPr>
        <w:t xml:space="preserve"> model</w:t>
      </w:r>
      <w:r w:rsidR="00C6151C">
        <w:rPr>
          <w:bCs/>
          <w:sz w:val="26"/>
          <w:szCs w:val="26"/>
        </w:rPr>
        <w:t>i</w:t>
      </w:r>
      <w:r w:rsidR="00C6151C" w:rsidRPr="00C6151C">
        <w:rPr>
          <w:bCs/>
          <w:sz w:val="26"/>
          <w:szCs w:val="26"/>
        </w:rPr>
        <w:t xml:space="preserve"> pružanja </w:t>
      </w:r>
      <w:r w:rsidR="00C6151C">
        <w:rPr>
          <w:bCs/>
          <w:sz w:val="26"/>
          <w:szCs w:val="26"/>
        </w:rPr>
        <w:t xml:space="preserve">različitih usluga građanima kroz visoku razinu upotrebe </w:t>
      </w:r>
      <w:r w:rsidR="00CB15E7">
        <w:rPr>
          <w:bCs/>
          <w:sz w:val="26"/>
          <w:szCs w:val="26"/>
        </w:rPr>
        <w:t xml:space="preserve">informatičke </w:t>
      </w:r>
      <w:r w:rsidR="00C6151C">
        <w:rPr>
          <w:bCs/>
          <w:sz w:val="26"/>
          <w:szCs w:val="26"/>
        </w:rPr>
        <w:t>tehnologij</w:t>
      </w:r>
      <w:r w:rsidR="00CB15E7">
        <w:rPr>
          <w:bCs/>
          <w:sz w:val="26"/>
          <w:szCs w:val="26"/>
        </w:rPr>
        <w:t>e</w:t>
      </w:r>
      <w:r w:rsidR="00C6151C">
        <w:rPr>
          <w:bCs/>
          <w:sz w:val="26"/>
          <w:szCs w:val="26"/>
        </w:rPr>
        <w:t>.</w:t>
      </w:r>
    </w:p>
    <w:p w:rsidR="00213F64" w:rsidRPr="00BC4DEC" w:rsidRDefault="00CC2887" w:rsidP="00CC2887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ab/>
      </w:r>
      <w:r w:rsidR="004D2B67">
        <w:rPr>
          <w:rFonts w:asciiTheme="minorHAnsi" w:hAnsiTheme="minorHAnsi" w:cs="Times New Roman"/>
          <w:sz w:val="26"/>
          <w:szCs w:val="26"/>
        </w:rPr>
        <w:t>Izmijenjena i dopunjena S</w:t>
      </w:r>
      <w:r w:rsidR="00213F64" w:rsidRPr="00BC4DEC">
        <w:rPr>
          <w:rFonts w:asciiTheme="minorHAnsi" w:hAnsiTheme="minorHAnsi" w:cs="Times New Roman"/>
          <w:sz w:val="26"/>
          <w:szCs w:val="26"/>
        </w:rPr>
        <w:t>trategija služit će kao temelj za definiranje projekata koji će se financirati iz različitih izvora: Europske unije, nacionalnih, regionalnih, vlastitih i ostalih izvora.</w:t>
      </w:r>
    </w:p>
    <w:p w:rsidR="00213F64" w:rsidRPr="00BC4DEC" w:rsidRDefault="00213F64" w:rsidP="00213F64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</w:p>
    <w:p w:rsidR="00213F64" w:rsidRDefault="00C6151C" w:rsidP="00213F64">
      <w:pPr>
        <w:pStyle w:val="StandardWeb"/>
        <w:spacing w:before="0" w:after="0"/>
        <w:jc w:val="center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Članak 3</w:t>
      </w:r>
      <w:r w:rsidR="00213F64" w:rsidRPr="00BC4DEC">
        <w:rPr>
          <w:rFonts w:asciiTheme="minorHAnsi" w:hAnsiTheme="minorHAnsi" w:cs="Times New Roman"/>
          <w:b/>
          <w:sz w:val="26"/>
          <w:szCs w:val="26"/>
        </w:rPr>
        <w:t>.</w:t>
      </w:r>
    </w:p>
    <w:p w:rsidR="00CC2887" w:rsidRPr="00BC4DEC" w:rsidRDefault="00CC2887" w:rsidP="00213F64">
      <w:pPr>
        <w:pStyle w:val="StandardWeb"/>
        <w:spacing w:before="0" w:after="0"/>
        <w:jc w:val="center"/>
        <w:rPr>
          <w:rFonts w:asciiTheme="minorHAnsi" w:hAnsiTheme="minorHAnsi" w:cs="Times New Roman"/>
          <w:sz w:val="26"/>
          <w:szCs w:val="26"/>
        </w:rPr>
      </w:pPr>
    </w:p>
    <w:p w:rsidR="00213F64" w:rsidRPr="00C6151C" w:rsidRDefault="00CC2887" w:rsidP="00213F64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ab/>
      </w:r>
      <w:r w:rsidR="00213F64" w:rsidRPr="00C6151C">
        <w:rPr>
          <w:rFonts w:asciiTheme="minorHAnsi" w:hAnsiTheme="minorHAnsi" w:cs="Times New Roman"/>
          <w:sz w:val="26"/>
          <w:szCs w:val="26"/>
        </w:rPr>
        <w:t xml:space="preserve">Aktivnostima vezanim uz </w:t>
      </w:r>
      <w:r w:rsidR="00C6151C" w:rsidRPr="00C6151C">
        <w:rPr>
          <w:rFonts w:asciiTheme="minorHAnsi" w:hAnsiTheme="minorHAnsi" w:cs="Times New Roman"/>
          <w:sz w:val="26"/>
          <w:szCs w:val="26"/>
        </w:rPr>
        <w:t xml:space="preserve">izmjenu i dopunu </w:t>
      </w:r>
      <w:r w:rsidR="00213F64" w:rsidRPr="00C6151C">
        <w:rPr>
          <w:rFonts w:asciiTheme="minorHAnsi" w:hAnsiTheme="minorHAnsi" w:cs="Times New Roman"/>
          <w:sz w:val="26"/>
          <w:szCs w:val="26"/>
        </w:rPr>
        <w:t xml:space="preserve">Strategije koordinirat će tim kojeg će imenovati Gradonačelnik, a u </w:t>
      </w:r>
      <w:r w:rsidR="00C6151C" w:rsidRPr="00C6151C">
        <w:rPr>
          <w:rFonts w:asciiTheme="minorHAnsi" w:hAnsiTheme="minorHAnsi" w:cs="Times New Roman"/>
          <w:sz w:val="26"/>
          <w:szCs w:val="26"/>
        </w:rPr>
        <w:t xml:space="preserve">izmjenu i dopunu </w:t>
      </w:r>
      <w:r w:rsidR="00213F64" w:rsidRPr="00C6151C">
        <w:rPr>
          <w:rFonts w:asciiTheme="minorHAnsi" w:hAnsiTheme="minorHAnsi" w:cs="Times New Roman"/>
          <w:sz w:val="26"/>
          <w:szCs w:val="26"/>
        </w:rPr>
        <w:t>će biti uključeni i članovi Gradskog vijeća te dionici iz sva tri sektora lokalne zajednice: javnog, poslovnog i civilnog.</w:t>
      </w:r>
    </w:p>
    <w:p w:rsidR="00213F64" w:rsidRPr="00C6151C" w:rsidRDefault="00CC2887" w:rsidP="00213F64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lastRenderedPageBreak/>
        <w:tab/>
      </w:r>
      <w:r w:rsidR="00213F64" w:rsidRPr="00C6151C">
        <w:rPr>
          <w:rFonts w:asciiTheme="minorHAnsi" w:hAnsiTheme="minorHAnsi" w:cs="Times New Roman"/>
          <w:sz w:val="26"/>
          <w:szCs w:val="26"/>
        </w:rPr>
        <w:t xml:space="preserve">Za </w:t>
      </w:r>
      <w:r w:rsidR="00C6151C" w:rsidRPr="00C6151C">
        <w:rPr>
          <w:rFonts w:asciiTheme="minorHAnsi" w:hAnsiTheme="minorHAnsi" w:cs="Times New Roman"/>
          <w:sz w:val="26"/>
          <w:szCs w:val="26"/>
        </w:rPr>
        <w:t>izmjen</w:t>
      </w:r>
      <w:r w:rsidR="00C6151C">
        <w:rPr>
          <w:rFonts w:asciiTheme="minorHAnsi" w:hAnsiTheme="minorHAnsi" w:cs="Times New Roman"/>
          <w:sz w:val="26"/>
          <w:szCs w:val="26"/>
        </w:rPr>
        <w:t>u</w:t>
      </w:r>
      <w:r w:rsidR="00C6151C" w:rsidRPr="00C6151C">
        <w:rPr>
          <w:rFonts w:asciiTheme="minorHAnsi" w:hAnsiTheme="minorHAnsi" w:cs="Times New Roman"/>
          <w:sz w:val="26"/>
          <w:szCs w:val="26"/>
        </w:rPr>
        <w:t xml:space="preserve"> i dopun</w:t>
      </w:r>
      <w:r w:rsidR="00C6151C">
        <w:rPr>
          <w:rFonts w:asciiTheme="minorHAnsi" w:hAnsiTheme="minorHAnsi" w:cs="Times New Roman"/>
          <w:sz w:val="26"/>
          <w:szCs w:val="26"/>
        </w:rPr>
        <w:t>u</w:t>
      </w:r>
      <w:r>
        <w:rPr>
          <w:rFonts w:asciiTheme="minorHAnsi" w:hAnsiTheme="minorHAnsi" w:cs="Times New Roman"/>
          <w:sz w:val="26"/>
          <w:szCs w:val="26"/>
        </w:rPr>
        <w:t xml:space="preserve"> </w:t>
      </w:r>
      <w:r w:rsidR="00213F64" w:rsidRPr="00C6151C">
        <w:rPr>
          <w:rFonts w:asciiTheme="minorHAnsi" w:hAnsiTheme="minorHAnsi" w:cs="Times New Roman"/>
          <w:sz w:val="26"/>
          <w:szCs w:val="26"/>
        </w:rPr>
        <w:t>Strategije bit će angažiran izrađivač s odgovarajućim referencama</w:t>
      </w:r>
      <w:r w:rsidR="00C6151C">
        <w:rPr>
          <w:rFonts w:asciiTheme="minorHAnsi" w:hAnsiTheme="minorHAnsi" w:cs="Times New Roman"/>
          <w:sz w:val="26"/>
          <w:szCs w:val="26"/>
        </w:rPr>
        <w:t>.</w:t>
      </w:r>
    </w:p>
    <w:p w:rsidR="00213F64" w:rsidRPr="00BC4DEC" w:rsidRDefault="00213F64" w:rsidP="00213F64">
      <w:pPr>
        <w:pStyle w:val="StandardWeb"/>
        <w:spacing w:before="0" w:after="0"/>
        <w:jc w:val="both"/>
        <w:rPr>
          <w:rFonts w:asciiTheme="minorHAnsi" w:hAnsiTheme="minorHAnsi" w:cs="Times New Roman"/>
          <w:sz w:val="26"/>
          <w:szCs w:val="26"/>
        </w:rPr>
      </w:pPr>
    </w:p>
    <w:p w:rsidR="00BC4DEC" w:rsidRDefault="00BC4DEC" w:rsidP="00213F64">
      <w:pPr>
        <w:pStyle w:val="StandardWeb"/>
        <w:spacing w:before="0" w:after="0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213F64" w:rsidRDefault="00213F64" w:rsidP="00213F64">
      <w:pPr>
        <w:pStyle w:val="StandardWeb"/>
        <w:spacing w:before="0" w:after="0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BC4DEC">
        <w:rPr>
          <w:rFonts w:asciiTheme="minorHAnsi" w:hAnsiTheme="minorHAnsi" w:cs="Times New Roman"/>
          <w:b/>
          <w:sz w:val="26"/>
          <w:szCs w:val="26"/>
        </w:rPr>
        <w:t xml:space="preserve">Članak </w:t>
      </w:r>
      <w:r w:rsidR="00C6151C">
        <w:rPr>
          <w:rFonts w:asciiTheme="minorHAnsi" w:hAnsiTheme="minorHAnsi" w:cs="Times New Roman"/>
          <w:b/>
          <w:sz w:val="26"/>
          <w:szCs w:val="26"/>
        </w:rPr>
        <w:t>4</w:t>
      </w:r>
      <w:r w:rsidRPr="00BC4DEC">
        <w:rPr>
          <w:rFonts w:asciiTheme="minorHAnsi" w:hAnsiTheme="minorHAnsi" w:cs="Times New Roman"/>
          <w:b/>
          <w:sz w:val="26"/>
          <w:szCs w:val="26"/>
        </w:rPr>
        <w:t>.</w:t>
      </w:r>
    </w:p>
    <w:p w:rsidR="00CC2887" w:rsidRPr="00BC4DEC" w:rsidRDefault="00CC2887" w:rsidP="00213F64">
      <w:pPr>
        <w:pStyle w:val="StandardWeb"/>
        <w:spacing w:before="0" w:after="0"/>
        <w:jc w:val="center"/>
        <w:rPr>
          <w:rFonts w:asciiTheme="minorHAnsi" w:hAnsiTheme="minorHAnsi" w:cs="Times New Roman"/>
          <w:sz w:val="26"/>
          <w:szCs w:val="26"/>
        </w:rPr>
      </w:pPr>
    </w:p>
    <w:p w:rsidR="00213F64" w:rsidRPr="00BC4DEC" w:rsidRDefault="00CC2887" w:rsidP="00213F64">
      <w:pPr>
        <w:pStyle w:val="StandardWeb"/>
        <w:spacing w:before="0" w:after="0"/>
        <w:jc w:val="both"/>
        <w:rPr>
          <w:rFonts w:asciiTheme="minorHAnsi" w:hAnsiTheme="minorHAnsi" w:cs="Times New Roman"/>
          <w:i/>
          <w:iCs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ab/>
      </w:r>
      <w:r w:rsidR="00213F64" w:rsidRPr="00BC4DEC">
        <w:rPr>
          <w:rFonts w:asciiTheme="minorHAnsi" w:hAnsiTheme="minorHAnsi" w:cs="Times New Roman"/>
          <w:sz w:val="26"/>
          <w:szCs w:val="26"/>
        </w:rPr>
        <w:t xml:space="preserve">Ova Odluka stupa na snagu </w:t>
      </w:r>
      <w:r>
        <w:rPr>
          <w:rFonts w:asciiTheme="minorHAnsi" w:hAnsiTheme="minorHAnsi" w:cs="Times New Roman"/>
          <w:sz w:val="26"/>
          <w:szCs w:val="26"/>
        </w:rPr>
        <w:t xml:space="preserve">prvog dana od dana objave u </w:t>
      </w:r>
      <w:r w:rsidR="00213F64" w:rsidRPr="00BC4DEC">
        <w:rPr>
          <w:rFonts w:asciiTheme="minorHAnsi" w:hAnsiTheme="minorHAnsi" w:cs="Times New Roman"/>
          <w:sz w:val="26"/>
          <w:szCs w:val="26"/>
        </w:rPr>
        <w:t xml:space="preserve"> „Službenom </w:t>
      </w:r>
      <w:r>
        <w:rPr>
          <w:rFonts w:asciiTheme="minorHAnsi" w:hAnsiTheme="minorHAnsi" w:cs="Times New Roman"/>
          <w:sz w:val="26"/>
          <w:szCs w:val="26"/>
        </w:rPr>
        <w:t>vjesniku</w:t>
      </w:r>
      <w:r w:rsidR="00213F64" w:rsidRPr="00BC4DEC">
        <w:rPr>
          <w:rFonts w:asciiTheme="minorHAnsi" w:hAnsiTheme="minorHAnsi" w:cs="Times New Roman"/>
          <w:sz w:val="26"/>
          <w:szCs w:val="26"/>
        </w:rPr>
        <w:t xml:space="preserve"> Varaždinske županije“.</w:t>
      </w:r>
    </w:p>
    <w:p w:rsidR="00213F64" w:rsidRPr="00BC4DEC" w:rsidRDefault="00213F64" w:rsidP="00213F64">
      <w:pPr>
        <w:pStyle w:val="StandardWeb"/>
        <w:spacing w:before="0" w:after="0"/>
        <w:jc w:val="both"/>
        <w:rPr>
          <w:rFonts w:asciiTheme="minorHAnsi" w:hAnsiTheme="minorHAnsi" w:cs="Times New Roman"/>
          <w:i/>
          <w:iCs/>
          <w:sz w:val="26"/>
          <w:szCs w:val="26"/>
        </w:rPr>
      </w:pPr>
    </w:p>
    <w:p w:rsidR="00213F64" w:rsidRPr="00BC4DEC" w:rsidRDefault="00213F64" w:rsidP="003D4547">
      <w:pPr>
        <w:spacing w:after="0"/>
        <w:rPr>
          <w:sz w:val="26"/>
          <w:szCs w:val="26"/>
        </w:rPr>
      </w:pPr>
    </w:p>
    <w:p w:rsidR="003D4547" w:rsidRPr="00BC4DEC" w:rsidRDefault="00CC2887" w:rsidP="00213F64">
      <w:pPr>
        <w:tabs>
          <w:tab w:val="left" w:pos="7665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 w:rsidR="00213F64" w:rsidRPr="00BC4DEC">
        <w:rPr>
          <w:b/>
          <w:sz w:val="26"/>
          <w:szCs w:val="26"/>
        </w:rPr>
        <w:t>Predsjednica</w:t>
      </w:r>
    </w:p>
    <w:p w:rsidR="00213F64" w:rsidRPr="00BC4DEC" w:rsidRDefault="00213F64" w:rsidP="00213F64">
      <w:pPr>
        <w:tabs>
          <w:tab w:val="left" w:pos="7665"/>
        </w:tabs>
        <w:spacing w:after="0"/>
        <w:rPr>
          <w:b/>
          <w:sz w:val="26"/>
          <w:szCs w:val="26"/>
        </w:rPr>
      </w:pPr>
      <w:r w:rsidRPr="00BC4DEC">
        <w:rPr>
          <w:b/>
          <w:sz w:val="26"/>
          <w:szCs w:val="26"/>
        </w:rPr>
        <w:t xml:space="preserve">  </w:t>
      </w:r>
      <w:r w:rsidR="00CC2887"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BC4DEC">
        <w:rPr>
          <w:b/>
          <w:sz w:val="26"/>
          <w:szCs w:val="26"/>
        </w:rPr>
        <w:t>Gradskog vijeća</w:t>
      </w:r>
    </w:p>
    <w:p w:rsidR="00213F64" w:rsidRDefault="00CC2887" w:rsidP="00213F64">
      <w:pPr>
        <w:tabs>
          <w:tab w:val="left" w:pos="766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="00213F64" w:rsidRPr="00BC4DEC">
        <w:rPr>
          <w:sz w:val="26"/>
          <w:szCs w:val="26"/>
        </w:rPr>
        <w:t xml:space="preserve">Renata </w:t>
      </w:r>
      <w:proofErr w:type="spellStart"/>
      <w:r w:rsidR="00213F64" w:rsidRPr="00BC4DEC">
        <w:rPr>
          <w:sz w:val="26"/>
          <w:szCs w:val="26"/>
        </w:rPr>
        <w:t>Potočnik</w:t>
      </w:r>
      <w:proofErr w:type="spellEnd"/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423926">
      <w:pPr>
        <w:pStyle w:val="StandardWeb"/>
        <w:spacing w:before="0" w:after="0"/>
        <w:jc w:val="center"/>
        <w:rPr>
          <w:rFonts w:ascii="Calibri" w:hAnsi="Calibri"/>
          <w:b/>
          <w:color w:val="auto"/>
          <w:sz w:val="32"/>
          <w:szCs w:val="32"/>
        </w:rPr>
      </w:pPr>
      <w:r w:rsidRPr="00535B81">
        <w:rPr>
          <w:rFonts w:ascii="Calibri" w:hAnsi="Calibri"/>
          <w:b/>
          <w:color w:val="auto"/>
          <w:sz w:val="32"/>
          <w:szCs w:val="32"/>
        </w:rPr>
        <w:lastRenderedPageBreak/>
        <w:t>O b r a z l o ž e nj e</w:t>
      </w:r>
    </w:p>
    <w:p w:rsidR="00423926" w:rsidRPr="00535B81" w:rsidRDefault="00423926" w:rsidP="00423926">
      <w:pPr>
        <w:pStyle w:val="StandardWeb"/>
        <w:spacing w:before="0" w:after="0"/>
        <w:jc w:val="center"/>
        <w:rPr>
          <w:rFonts w:ascii="Calibri" w:hAnsi="Calibri"/>
          <w:b/>
          <w:color w:val="auto"/>
          <w:sz w:val="32"/>
          <w:szCs w:val="32"/>
        </w:rPr>
      </w:pPr>
    </w:p>
    <w:p w:rsidR="00423926" w:rsidRPr="0032488F" w:rsidRDefault="00423926" w:rsidP="00423926">
      <w:pPr>
        <w:pStyle w:val="StandardWeb"/>
        <w:spacing w:before="0" w:after="0"/>
        <w:jc w:val="center"/>
        <w:rPr>
          <w:rFonts w:ascii="Calibri" w:hAnsi="Calibri"/>
          <w:b/>
          <w:color w:val="auto"/>
          <w:sz w:val="26"/>
          <w:szCs w:val="26"/>
        </w:rPr>
      </w:pPr>
      <w:r w:rsidRPr="0032488F">
        <w:rPr>
          <w:rFonts w:ascii="Calibri" w:hAnsi="Calibri"/>
          <w:b/>
          <w:color w:val="auto"/>
          <w:sz w:val="26"/>
          <w:szCs w:val="26"/>
        </w:rPr>
        <w:t xml:space="preserve">Prijedloga Odluke o </w:t>
      </w:r>
      <w:r>
        <w:rPr>
          <w:rFonts w:ascii="Calibri" w:hAnsi="Calibri"/>
          <w:b/>
          <w:color w:val="auto"/>
          <w:sz w:val="26"/>
          <w:szCs w:val="26"/>
        </w:rPr>
        <w:t>izmjeni i dopuni Strategije razvoja Grada Ludbrega 2014.-2020.</w:t>
      </w:r>
    </w:p>
    <w:p w:rsidR="00423926" w:rsidRDefault="00423926" w:rsidP="00423926">
      <w:pPr>
        <w:pStyle w:val="StandardWeb"/>
        <w:spacing w:before="0" w:after="0"/>
        <w:jc w:val="both"/>
        <w:rPr>
          <w:rFonts w:ascii="Calibri" w:hAnsi="Calibri"/>
          <w:color w:val="auto"/>
          <w:sz w:val="24"/>
          <w:szCs w:val="24"/>
        </w:rPr>
      </w:pPr>
    </w:p>
    <w:p w:rsidR="00423926" w:rsidRPr="00535B81" w:rsidRDefault="00423926" w:rsidP="00423926">
      <w:pPr>
        <w:pStyle w:val="StandardWeb"/>
        <w:spacing w:before="0" w:after="0"/>
        <w:jc w:val="both"/>
        <w:rPr>
          <w:rFonts w:ascii="Calibri" w:hAnsi="Calibri"/>
          <w:color w:val="auto"/>
          <w:sz w:val="24"/>
          <w:szCs w:val="24"/>
        </w:rPr>
      </w:pPr>
    </w:p>
    <w:p w:rsidR="00423926" w:rsidRDefault="00423926" w:rsidP="00423926">
      <w:pPr>
        <w:pStyle w:val="StandardWeb"/>
        <w:spacing w:before="0" w:after="0"/>
        <w:jc w:val="both"/>
        <w:rPr>
          <w:rFonts w:asciiTheme="minorHAnsi" w:hAnsiTheme="minorHAnsi"/>
          <w:color w:val="auto"/>
          <w:sz w:val="26"/>
          <w:szCs w:val="26"/>
        </w:rPr>
      </w:pPr>
      <w:r w:rsidRPr="00EE7FF6">
        <w:rPr>
          <w:rFonts w:asciiTheme="minorHAnsi" w:hAnsiTheme="minorHAnsi"/>
          <w:color w:val="auto"/>
          <w:sz w:val="26"/>
          <w:szCs w:val="26"/>
        </w:rPr>
        <w:t>Gradsko vijeće Grada Ludbrega je Zaključkom na 14. sjednici Gradskog vijeća održanoj 26. ožujka 2016. godine usvojilo Strategiju razvoja Grada Ludbrega 2014.-2020. (u daljnjem tekstu: Strategija)</w:t>
      </w:r>
      <w:r>
        <w:rPr>
          <w:rFonts w:asciiTheme="minorHAnsi" w:hAnsiTheme="minorHAnsi"/>
          <w:color w:val="auto"/>
          <w:sz w:val="26"/>
          <w:szCs w:val="26"/>
        </w:rPr>
        <w:t>.</w:t>
      </w:r>
    </w:p>
    <w:p w:rsidR="00423926" w:rsidRPr="00EE7FF6" w:rsidRDefault="00423926" w:rsidP="00423926">
      <w:pPr>
        <w:pStyle w:val="StandardWeb"/>
        <w:spacing w:before="0" w:after="0"/>
        <w:jc w:val="both"/>
        <w:rPr>
          <w:rFonts w:asciiTheme="minorHAnsi" w:hAnsiTheme="minorHAnsi"/>
          <w:color w:val="auto"/>
          <w:sz w:val="26"/>
          <w:szCs w:val="26"/>
        </w:rPr>
      </w:pPr>
      <w:r w:rsidRPr="00EE7FF6">
        <w:rPr>
          <w:rFonts w:asciiTheme="minorHAnsi" w:hAnsiTheme="minorHAnsi"/>
          <w:color w:val="auto"/>
          <w:sz w:val="26"/>
          <w:szCs w:val="26"/>
        </w:rPr>
        <w:t>Navedenom Strategijom definiraju se dugoročni razvojni ciljevi i strateški razvojni projekti Grada Ludbrega.</w:t>
      </w:r>
    </w:p>
    <w:p w:rsidR="00423926" w:rsidRPr="00EE7FF6" w:rsidRDefault="00423926" w:rsidP="00423926">
      <w:pPr>
        <w:pStyle w:val="StandardWeb"/>
        <w:spacing w:before="0" w:after="0"/>
        <w:jc w:val="both"/>
        <w:rPr>
          <w:rFonts w:asciiTheme="minorHAnsi" w:hAnsiTheme="minorHAnsi"/>
          <w:color w:val="auto"/>
          <w:sz w:val="26"/>
          <w:szCs w:val="26"/>
        </w:rPr>
      </w:pPr>
      <w:r w:rsidRPr="00EE7FF6">
        <w:rPr>
          <w:rFonts w:asciiTheme="minorHAnsi" w:hAnsiTheme="minorHAnsi"/>
          <w:color w:val="auto"/>
          <w:sz w:val="26"/>
          <w:szCs w:val="26"/>
        </w:rPr>
        <w:t>U svijetu modernih tehnologija pojavila se potreba izmjene i dopune Strategije sa ciljem uspostavljanja koncepta „pametnog grada“.</w:t>
      </w:r>
    </w:p>
    <w:p w:rsidR="00423926" w:rsidRDefault="00423926" w:rsidP="0042392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hr-HR"/>
        </w:rPr>
      </w:pPr>
      <w:r w:rsidRPr="008C1C21">
        <w:rPr>
          <w:rFonts w:eastAsia="Times New Roman" w:cs="Times New Roman"/>
          <w:sz w:val="26"/>
          <w:szCs w:val="26"/>
          <w:lang w:eastAsia="hr-HR"/>
        </w:rPr>
        <w:t>Novi tehnološki trendovi i pred lokalnu samoupravu stavljaju nove mogućnosti za upravljanje i unapređenje kvalitete usluga i života građana, kao i efikasnije obavljanje gospodarske djelatnosti. Upravo je visoka razina uporabe digitalnih tehnologija i razmjena informacija i znanja omogućila uporabu koncepta „</w:t>
      </w:r>
      <w:proofErr w:type="spellStart"/>
      <w:r w:rsidRPr="008C1C21">
        <w:rPr>
          <w:rFonts w:eastAsia="Times New Roman" w:cs="Times New Roman"/>
          <w:sz w:val="26"/>
          <w:szCs w:val="26"/>
          <w:lang w:eastAsia="hr-HR"/>
        </w:rPr>
        <w:t>Smart</w:t>
      </w:r>
      <w:proofErr w:type="spellEnd"/>
      <w:r w:rsidRPr="008C1C21">
        <w:rPr>
          <w:rFonts w:eastAsia="Times New Roman" w:cs="Times New Roman"/>
          <w:sz w:val="26"/>
          <w:szCs w:val="26"/>
          <w:lang w:eastAsia="hr-HR"/>
        </w:rPr>
        <w:t xml:space="preserve">“, pri čemu su ključni </w:t>
      </w:r>
      <w:proofErr w:type="spellStart"/>
      <w:r w:rsidRPr="008C1C21">
        <w:rPr>
          <w:rFonts w:eastAsia="Times New Roman" w:cs="Times New Roman"/>
          <w:sz w:val="26"/>
          <w:szCs w:val="26"/>
          <w:lang w:eastAsia="hr-HR"/>
        </w:rPr>
        <w:t>omogućitelji</w:t>
      </w:r>
      <w:proofErr w:type="spellEnd"/>
      <w:r w:rsidRPr="008C1C21">
        <w:rPr>
          <w:rFonts w:eastAsia="Times New Roman" w:cs="Times New Roman"/>
          <w:sz w:val="26"/>
          <w:szCs w:val="26"/>
          <w:lang w:eastAsia="hr-HR"/>
        </w:rPr>
        <w:t xml:space="preserve"> novi modeli poslovanja i digitalna tehnologija . </w:t>
      </w:r>
    </w:p>
    <w:p w:rsidR="00423926" w:rsidRPr="008C1C21" w:rsidRDefault="00423926" w:rsidP="0042392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hr-HR"/>
        </w:rPr>
      </w:pPr>
      <w:r w:rsidRPr="008C1C21">
        <w:rPr>
          <w:rFonts w:eastAsia="Times New Roman" w:cs="Times New Roman"/>
          <w:sz w:val="26"/>
          <w:szCs w:val="26"/>
          <w:lang w:eastAsia="hr-HR"/>
        </w:rPr>
        <w:t xml:space="preserve">U odnosu na </w:t>
      </w:r>
      <w:r>
        <w:rPr>
          <w:rFonts w:eastAsia="Times New Roman" w:cs="Times New Roman"/>
          <w:sz w:val="26"/>
          <w:szCs w:val="26"/>
          <w:lang w:eastAsia="hr-HR"/>
        </w:rPr>
        <w:t>postojeću Strategiju, dopunjena St</w:t>
      </w:r>
      <w:r w:rsidRPr="008C1C21">
        <w:rPr>
          <w:rFonts w:eastAsia="Times New Roman" w:cs="Times New Roman"/>
          <w:sz w:val="26"/>
          <w:szCs w:val="26"/>
          <w:lang w:eastAsia="hr-HR"/>
        </w:rPr>
        <w:t xml:space="preserve">rategija „Pametnog grada“ na višoj razini propituje ona područja primjene, u kojima može dati efekte i nad kojima se postavljaju „strateški ciljevi pametnog grada“ primjenom ICT tehnologija.  </w:t>
      </w:r>
    </w:p>
    <w:p w:rsidR="00423926" w:rsidRPr="008C1C21" w:rsidRDefault="00423926" w:rsidP="0042392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hr-HR"/>
        </w:rPr>
      </w:pPr>
      <w:r w:rsidRPr="008C1C21">
        <w:rPr>
          <w:rFonts w:eastAsia="Times New Roman" w:cs="Times New Roman"/>
          <w:sz w:val="26"/>
          <w:szCs w:val="26"/>
          <w:lang w:eastAsia="hr-HR"/>
        </w:rPr>
        <w:t xml:space="preserve">U Strategiji razvoja grada Ludbrega 2014. – 2020. definirana je </w:t>
      </w:r>
      <w:r w:rsidRPr="008C1C21">
        <w:rPr>
          <w:rFonts w:eastAsia="Times New Roman" w:cs="Times New Roman"/>
          <w:b/>
          <w:bCs/>
          <w:sz w:val="26"/>
          <w:szCs w:val="26"/>
          <w:lang w:eastAsia="hr-HR"/>
        </w:rPr>
        <w:t>Prioritetna okosnica 1: Grad suvremene komunalne infrastrukture i ”pametne uprave”</w:t>
      </w:r>
      <w:r w:rsidRPr="008C1C21">
        <w:rPr>
          <w:rFonts w:eastAsia="Times New Roman" w:cs="Times New Roman"/>
          <w:sz w:val="26"/>
          <w:szCs w:val="26"/>
          <w:lang w:eastAsia="hr-HR"/>
        </w:rPr>
        <w:t xml:space="preserve">, unutar koje je definirana </w:t>
      </w:r>
      <w:r w:rsidRPr="008C1C21">
        <w:rPr>
          <w:rFonts w:eastAsia="Times New Roman" w:cs="Times New Roman"/>
          <w:b/>
          <w:bCs/>
          <w:sz w:val="26"/>
          <w:szCs w:val="26"/>
          <w:lang w:eastAsia="hr-HR"/>
        </w:rPr>
        <w:t>Mjera 1.3. Poticanje razvoja Grada temeljem koncepta ˝pametne uprave˝</w:t>
      </w:r>
      <w:r w:rsidRPr="008C1C21">
        <w:rPr>
          <w:rFonts w:eastAsia="Times New Roman" w:cs="Times New Roman"/>
          <w:sz w:val="26"/>
          <w:szCs w:val="26"/>
          <w:lang w:eastAsia="hr-HR"/>
        </w:rPr>
        <w:t>  kojoj je svrha stvaranje suvremene gradske uprave organizirane prema konceptima „</w:t>
      </w:r>
      <w:proofErr w:type="spellStart"/>
      <w:r w:rsidRPr="008C1C21">
        <w:rPr>
          <w:rFonts w:eastAsia="Times New Roman" w:cs="Times New Roman"/>
          <w:sz w:val="26"/>
          <w:szCs w:val="26"/>
          <w:lang w:eastAsia="hr-HR"/>
        </w:rPr>
        <w:t>Smart</w:t>
      </w:r>
      <w:proofErr w:type="spellEnd"/>
      <w:r w:rsidRPr="008C1C21">
        <w:rPr>
          <w:rFonts w:eastAsia="Times New Roman" w:cs="Times New Roman"/>
          <w:sz w:val="26"/>
          <w:szCs w:val="26"/>
          <w:lang w:eastAsia="hr-HR"/>
        </w:rPr>
        <w:t xml:space="preserve"> City“ odnosno „pametan grad“ i e-City.</w:t>
      </w:r>
    </w:p>
    <w:p w:rsidR="00423926" w:rsidRPr="00EE7FF6" w:rsidRDefault="00423926" w:rsidP="00423926">
      <w:pPr>
        <w:spacing w:line="240" w:lineRule="auto"/>
        <w:jc w:val="both"/>
        <w:rPr>
          <w:sz w:val="26"/>
          <w:szCs w:val="26"/>
        </w:rPr>
      </w:pPr>
      <w:r w:rsidRPr="00EE7FF6">
        <w:rPr>
          <w:sz w:val="26"/>
          <w:szCs w:val="26"/>
        </w:rPr>
        <w:t>U kolovozu  ove godine Ministarstvo poljoprivrede donijelo je Pravilnik  o provedbi  Mjere 07 „Temeljne usluge i obnova sela u ruralnim područjima“ iz programa ruralnog razvoja Republike Hrvatske za razd</w:t>
      </w:r>
      <w:r>
        <w:rPr>
          <w:sz w:val="26"/>
          <w:szCs w:val="26"/>
        </w:rPr>
        <w:t>oblje 2014-2020. U</w:t>
      </w:r>
      <w:r w:rsidRPr="00EE7FF6">
        <w:rPr>
          <w:sz w:val="26"/>
          <w:szCs w:val="26"/>
        </w:rPr>
        <w:t xml:space="preserve"> sklopu </w:t>
      </w:r>
      <w:proofErr w:type="spellStart"/>
      <w:r w:rsidRPr="00EE7FF6">
        <w:rPr>
          <w:sz w:val="26"/>
          <w:szCs w:val="26"/>
        </w:rPr>
        <w:t>Podmjere</w:t>
      </w:r>
      <w:proofErr w:type="spellEnd"/>
      <w:r w:rsidRPr="00EE7FF6">
        <w:rPr>
          <w:sz w:val="26"/>
          <w:szCs w:val="26"/>
        </w:rPr>
        <w:t xml:space="preserve"> 7.1.</w:t>
      </w:r>
      <w:r w:rsidRPr="00EE7FF6">
        <w:rPr>
          <w:i/>
          <w:sz w:val="26"/>
          <w:szCs w:val="26"/>
        </w:rPr>
        <w:t>„Sastavljanje i ažuriranje planova za razvoj općina i sela u ruralnim područjima i njihovih temeljnih usluga te planova zaštite i upravljanja koji se odnose na lokalitete Natura 2000 i druga područja visoke prirodne vrijednosti“</w:t>
      </w:r>
      <w:r w:rsidRPr="00EE7FF6">
        <w:rPr>
          <w:sz w:val="26"/>
          <w:szCs w:val="26"/>
        </w:rPr>
        <w:t xml:space="preserve"> , tip operacije 7.1.1.</w:t>
      </w:r>
      <w:r w:rsidRPr="00EE7FF6">
        <w:rPr>
          <w:i/>
          <w:sz w:val="26"/>
          <w:szCs w:val="26"/>
        </w:rPr>
        <w:t xml:space="preserve"> „Sastavljanje i ažuriranje planova za razvoj jedinica lokalne samouprave“</w:t>
      </w:r>
      <w:r w:rsidRPr="00EE7FF6">
        <w:rPr>
          <w:sz w:val="26"/>
          <w:szCs w:val="26"/>
        </w:rPr>
        <w:t>prihvatljiv</w:t>
      </w:r>
      <w:r>
        <w:rPr>
          <w:sz w:val="26"/>
          <w:szCs w:val="26"/>
        </w:rPr>
        <w:t>o</w:t>
      </w:r>
      <w:r w:rsidRPr="00EE7FF6">
        <w:rPr>
          <w:sz w:val="26"/>
          <w:szCs w:val="26"/>
        </w:rPr>
        <w:t xml:space="preserve"> </w:t>
      </w:r>
      <w:proofErr w:type="spellStart"/>
      <w:r w:rsidRPr="00EE7FF6">
        <w:rPr>
          <w:sz w:val="26"/>
          <w:szCs w:val="26"/>
        </w:rPr>
        <w:t>ulaganjeobuhvaća</w:t>
      </w:r>
      <w:proofErr w:type="spellEnd"/>
      <w:r w:rsidRPr="00EE7FF6">
        <w:rPr>
          <w:sz w:val="26"/>
          <w:szCs w:val="26"/>
        </w:rPr>
        <w:t xml:space="preserve"> i izradu </w:t>
      </w:r>
      <w:proofErr w:type="spellStart"/>
      <w:r w:rsidRPr="00EE7FF6">
        <w:rPr>
          <w:sz w:val="26"/>
          <w:szCs w:val="26"/>
        </w:rPr>
        <w:t>iliizmjenu</w:t>
      </w:r>
      <w:proofErr w:type="spellEnd"/>
      <w:r w:rsidRPr="00EE7FF6">
        <w:rPr>
          <w:sz w:val="26"/>
          <w:szCs w:val="26"/>
        </w:rPr>
        <w:t xml:space="preserve"> i dopunu  </w:t>
      </w:r>
      <w:proofErr w:type="spellStart"/>
      <w:r w:rsidRPr="00EE7FF6">
        <w:rPr>
          <w:sz w:val="26"/>
          <w:szCs w:val="26"/>
        </w:rPr>
        <w:t>Strateškograzvojnog</w:t>
      </w:r>
      <w:proofErr w:type="spellEnd"/>
      <w:r w:rsidRPr="00EE7FF6">
        <w:rPr>
          <w:sz w:val="26"/>
          <w:szCs w:val="26"/>
        </w:rPr>
        <w:t xml:space="preserve"> programa općine ili grada, a navedeni tip operacije namijenjen je općinama i gradovima s najviše 10.000 stanovnika.</w:t>
      </w:r>
    </w:p>
    <w:p w:rsidR="00423926" w:rsidRPr="00EE7FF6" w:rsidRDefault="00423926" w:rsidP="00423926">
      <w:pPr>
        <w:jc w:val="both"/>
        <w:rPr>
          <w:sz w:val="26"/>
          <w:szCs w:val="26"/>
        </w:rPr>
      </w:pPr>
      <w:r w:rsidRPr="00EE7FF6">
        <w:rPr>
          <w:rFonts w:eastAsia="Calibri" w:cs="Times New Roman"/>
          <w:sz w:val="26"/>
          <w:szCs w:val="26"/>
        </w:rPr>
        <w:t xml:space="preserve">Sredstva potpore osiguravaju se iz proračuna Europske unije i državnog proračuna Republike Hrvatske, od čega Europska unija sudjeluje s 85% udjela, a Republika Hrvatska s 15% udjela. Intenzitet javne potpore po projektu/operaciji za tip operacije 7.1.1. iznosi </w:t>
      </w:r>
      <w:r w:rsidRPr="00EE7FF6">
        <w:rPr>
          <w:rFonts w:eastAsia="Calibri" w:cs="Times New Roman"/>
          <w:b/>
          <w:sz w:val="26"/>
          <w:szCs w:val="26"/>
        </w:rPr>
        <w:t>do 100 %</w:t>
      </w:r>
      <w:r w:rsidRPr="00EE7FF6">
        <w:rPr>
          <w:rFonts w:eastAsia="Calibri" w:cs="Times New Roman"/>
          <w:sz w:val="26"/>
          <w:szCs w:val="26"/>
        </w:rPr>
        <w:t xml:space="preserve"> od ukupnih prihvatljivih troškova</w:t>
      </w:r>
      <w:r w:rsidRPr="00EE7FF6">
        <w:rPr>
          <w:sz w:val="26"/>
          <w:szCs w:val="26"/>
        </w:rPr>
        <w:t xml:space="preserve">. </w:t>
      </w:r>
    </w:p>
    <w:p w:rsidR="00423926" w:rsidRPr="00EE7FF6" w:rsidRDefault="00423926" w:rsidP="00423926">
      <w:pPr>
        <w:spacing w:line="240" w:lineRule="auto"/>
        <w:jc w:val="both"/>
        <w:rPr>
          <w:sz w:val="26"/>
          <w:szCs w:val="26"/>
        </w:rPr>
      </w:pPr>
      <w:r w:rsidRPr="00EE7FF6">
        <w:rPr>
          <w:sz w:val="26"/>
          <w:szCs w:val="26"/>
        </w:rPr>
        <w:lastRenderedPageBreak/>
        <w:t>Postoji objektivna mogućnost dobivanja financijske potpore za izradu izmjene i dopune  ove Strategije upravo iz navedene Mjere Ministarstva poljoprivrede. Preduvjet za to je da korisnik, prilikom podnošenja Zahtjeva  za potporu, priloži i Odluku predstavničkog tijela jedinice lokalne samouprave o izradi ili izmjeni i dopuni Strateškog razvojnog programa općine ili grada.</w:t>
      </w:r>
    </w:p>
    <w:p w:rsidR="00423926" w:rsidRPr="00EE7FF6" w:rsidRDefault="00423926" w:rsidP="00423926">
      <w:pPr>
        <w:spacing w:line="240" w:lineRule="auto"/>
        <w:jc w:val="both"/>
        <w:rPr>
          <w:sz w:val="26"/>
          <w:szCs w:val="26"/>
        </w:rPr>
      </w:pPr>
      <w:r w:rsidRPr="00EE7FF6">
        <w:rPr>
          <w:sz w:val="26"/>
          <w:szCs w:val="26"/>
        </w:rPr>
        <w:t>Slijedom navedenog, predlaže se donošenje Odluke u predloženom tekstu.</w:t>
      </w:r>
    </w:p>
    <w:p w:rsidR="00423926" w:rsidRDefault="00423926" w:rsidP="00423926">
      <w:pPr>
        <w:tabs>
          <w:tab w:val="left" w:pos="7665"/>
        </w:tabs>
        <w:spacing w:after="0"/>
        <w:jc w:val="both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p w:rsidR="00423926" w:rsidRPr="00BC4DEC" w:rsidRDefault="00423926" w:rsidP="00213F64">
      <w:pPr>
        <w:tabs>
          <w:tab w:val="left" w:pos="7665"/>
        </w:tabs>
        <w:spacing w:after="0"/>
        <w:rPr>
          <w:sz w:val="26"/>
          <w:szCs w:val="26"/>
        </w:rPr>
      </w:pPr>
    </w:p>
    <w:sectPr w:rsidR="00423926" w:rsidRPr="00BC4DEC" w:rsidSect="005B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903"/>
    <w:multiLevelType w:val="hybridMultilevel"/>
    <w:tmpl w:val="2F9E41A2"/>
    <w:lvl w:ilvl="0" w:tplc="59FA2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9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E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0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A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27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6F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6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CF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547"/>
    <w:rsid w:val="0001412D"/>
    <w:rsid w:val="00213F64"/>
    <w:rsid w:val="003D4547"/>
    <w:rsid w:val="00423926"/>
    <w:rsid w:val="00491EEB"/>
    <w:rsid w:val="004C5DAB"/>
    <w:rsid w:val="004D2B67"/>
    <w:rsid w:val="005B3897"/>
    <w:rsid w:val="006D2764"/>
    <w:rsid w:val="00716580"/>
    <w:rsid w:val="00776932"/>
    <w:rsid w:val="008F3C77"/>
    <w:rsid w:val="009516CC"/>
    <w:rsid w:val="00BC4DEC"/>
    <w:rsid w:val="00C6151C"/>
    <w:rsid w:val="00CB15E7"/>
    <w:rsid w:val="00CC2887"/>
    <w:rsid w:val="00F3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13F64"/>
    <w:pPr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</dc:creator>
  <cp:lastModifiedBy>Tajnica</cp:lastModifiedBy>
  <cp:revision>5</cp:revision>
  <cp:lastPrinted>2015-03-18T15:17:00Z</cp:lastPrinted>
  <dcterms:created xsi:type="dcterms:W3CDTF">2016-08-19T14:00:00Z</dcterms:created>
  <dcterms:modified xsi:type="dcterms:W3CDTF">2016-08-19T14:12:00Z</dcterms:modified>
</cp:coreProperties>
</file>