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669CD">
      <w:pPr>
        <w:ind w:right="5669"/>
        <w:jc w:val="center"/>
      </w:pPr>
      <w:r>
        <w:rPr>
          <w:noProof/>
          <w:lang w:eastAsia="hr-HR"/>
        </w:rPr>
        <w:drawing>
          <wp:inline distT="0" distB="0" distL="0" distR="0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VARAŽDINSKA ŽUPANIJA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Arial" w:eastAsia="Times New Roman" w:hAnsi="Arial"/>
          <w:b/>
          <w:spacing w:val="60"/>
          <w:sz w:val="24"/>
          <w:szCs w:val="24"/>
          <w:lang w:eastAsia="hr-HR"/>
        </w:rPr>
      </w:pPr>
      <w:r w:rsidRPr="00021AF4">
        <w:rPr>
          <w:rFonts w:ascii="Arial" w:eastAsia="Times New Roman" w:hAnsi="Arial"/>
          <w:b/>
          <w:spacing w:val="60"/>
          <w:sz w:val="24"/>
          <w:szCs w:val="24"/>
          <w:lang w:eastAsia="hr-HR"/>
        </w:rPr>
        <w:t>GRAD LUDBREG</w:t>
      </w:r>
    </w:p>
    <w:p w:rsidR="00021AF4" w:rsidRPr="00021AF4" w:rsidRDefault="00C81D8D" w:rsidP="00021AF4">
      <w:pPr>
        <w:spacing w:after="0" w:line="240" w:lineRule="auto"/>
        <w:ind w:right="-7" w:firstLine="708"/>
        <w:jc w:val="both"/>
        <w:rPr>
          <w:rFonts w:ascii="Arial" w:eastAsia="Times New Roman" w:hAnsi="Arial"/>
          <w:szCs w:val="24"/>
          <w:lang w:eastAsia="hr-HR"/>
        </w:rPr>
      </w:pPr>
      <w:r>
        <w:rPr>
          <w:rFonts w:ascii="Arial" w:eastAsia="Times New Roman" w:hAnsi="Arial"/>
          <w:szCs w:val="24"/>
          <w:lang w:eastAsia="hr-HR"/>
        </w:rPr>
        <w:t xml:space="preserve"> </w:t>
      </w:r>
      <w:r w:rsidR="00021AF4" w:rsidRPr="00021AF4">
        <w:rPr>
          <w:rFonts w:ascii="Arial" w:eastAsia="Times New Roman" w:hAnsi="Arial"/>
          <w:szCs w:val="24"/>
          <w:lang w:eastAsia="hr-HR"/>
        </w:rPr>
        <w:t xml:space="preserve"> </w:t>
      </w:r>
      <w:r>
        <w:rPr>
          <w:rFonts w:ascii="Arial" w:eastAsia="Times New Roman" w:hAnsi="Arial"/>
          <w:szCs w:val="24"/>
          <w:lang w:eastAsia="hr-HR"/>
        </w:rPr>
        <w:t>GRADSKO VIJEĆE</w:t>
      </w:r>
    </w:p>
    <w:p w:rsidR="00F669CD" w:rsidRDefault="00F669CD" w:rsidP="00F669CD">
      <w:pPr>
        <w:pStyle w:val="Naslov1"/>
      </w:pPr>
      <w:r>
        <w:t>KLASA:</w:t>
      </w:r>
      <w:r w:rsidR="00132E22">
        <w:t>400-06/1</w:t>
      </w:r>
      <w:r w:rsidR="00FA2BD6">
        <w:t>6</w:t>
      </w:r>
      <w:r w:rsidR="00132E22">
        <w:t>-01/</w:t>
      </w:r>
      <w:r w:rsidR="00FA2BD6">
        <w:t>03</w:t>
      </w:r>
    </w:p>
    <w:p w:rsidR="00F669CD" w:rsidRDefault="00F669CD" w:rsidP="00F669CD">
      <w:pPr>
        <w:pStyle w:val="Naslov1"/>
      </w:pPr>
      <w:r>
        <w:t>URBROJ:2186/18-0</w:t>
      </w:r>
      <w:r w:rsidR="00116C88">
        <w:t>2</w:t>
      </w:r>
      <w:r>
        <w:t>/1-1</w:t>
      </w:r>
      <w:r w:rsidR="00FA2BD6">
        <w:t>6</w:t>
      </w:r>
      <w:r>
        <w:t>-</w:t>
      </w:r>
      <w:r w:rsidR="00FA2BD6">
        <w:t>5</w:t>
      </w:r>
    </w:p>
    <w:p w:rsidR="00F669CD" w:rsidRDefault="00F669CD" w:rsidP="00BE1479">
      <w:pPr>
        <w:pStyle w:val="Naslov1"/>
        <w:rPr>
          <w:rFonts w:ascii="Arial" w:eastAsia="ArialMT" w:hAnsi="Arial" w:cs="Arial"/>
          <w:color w:val="000000"/>
        </w:rPr>
      </w:pPr>
      <w:r>
        <w:t>Ludbreg,</w:t>
      </w:r>
      <w:r w:rsidR="00337D99">
        <w:t xml:space="preserve"> </w:t>
      </w:r>
      <w:r w:rsidR="000745EE">
        <w:t>20</w:t>
      </w:r>
      <w:r>
        <w:t>.</w:t>
      </w:r>
      <w:r w:rsidR="00526156">
        <w:t>prosinca</w:t>
      </w:r>
      <w:r w:rsidR="009109C6">
        <w:t xml:space="preserve"> </w:t>
      </w:r>
      <w:r>
        <w:t>201</w:t>
      </w:r>
      <w:r w:rsidR="00526156">
        <w:t>6</w:t>
      </w:r>
      <w:r>
        <w:t>.</w:t>
      </w: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Na temelju članka 14. Zakona o proračunu (»Narodne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i 136/12</w:t>
      </w:r>
      <w:r w:rsidR="001E70DD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) i članka 3</w:t>
      </w:r>
      <w:r w:rsidR="0003421F">
        <w:rPr>
          <w:rFonts w:ascii="Arial" w:eastAsia="ArialMT" w:hAnsi="Arial" w:cs="Arial"/>
          <w:color w:val="000000"/>
          <w:sz w:val="24"/>
          <w:szCs w:val="24"/>
        </w:rPr>
        <w:t>3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 Statuta Grada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Ludbreg</w:t>
      </w:r>
      <w:r w:rsidR="00460834">
        <w:rPr>
          <w:rFonts w:ascii="Arial" w:eastAsia="ArialMT" w:hAnsi="Arial" w:cs="Arial"/>
          <w:color w:val="000000"/>
          <w:sz w:val="24"/>
          <w:szCs w:val="24"/>
        </w:rPr>
        <w:t>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(»Službeni vjesnik Varaždinske županije«, broj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2</w:t>
      </w:r>
      <w:r w:rsidR="0003421F">
        <w:rPr>
          <w:rFonts w:ascii="Arial" w:eastAsia="ArialMT" w:hAnsi="Arial" w:cs="Arial"/>
          <w:color w:val="000000"/>
          <w:sz w:val="24"/>
          <w:szCs w:val="24"/>
        </w:rPr>
        <w:t>3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>/09</w:t>
      </w:r>
      <w:r w:rsidR="000F0FA7">
        <w:rPr>
          <w:rFonts w:ascii="Arial" w:eastAsia="ArialMT" w:hAnsi="Arial" w:cs="Arial"/>
          <w:color w:val="000000"/>
          <w:sz w:val="24"/>
          <w:szCs w:val="24"/>
        </w:rPr>
        <w:t>,17/13 i 4</w:t>
      </w:r>
      <w:r w:rsidR="007A2134">
        <w:rPr>
          <w:rFonts w:ascii="Arial" w:eastAsia="ArialMT" w:hAnsi="Arial" w:cs="Arial"/>
          <w:color w:val="000000"/>
          <w:sz w:val="24"/>
          <w:szCs w:val="24"/>
        </w:rPr>
        <w:t>0</w:t>
      </w:r>
      <w:r w:rsidR="000F0FA7">
        <w:rPr>
          <w:rFonts w:ascii="Arial" w:eastAsia="ArialMT" w:hAnsi="Arial" w:cs="Arial"/>
          <w:color w:val="000000"/>
          <w:sz w:val="24"/>
          <w:szCs w:val="24"/>
        </w:rPr>
        <w:t>/13</w:t>
      </w:r>
      <w:r w:rsidR="007A2134">
        <w:rPr>
          <w:rFonts w:ascii="Arial" w:eastAsia="ArialMT" w:hAnsi="Arial" w:cs="Arial"/>
          <w:color w:val="000000"/>
          <w:sz w:val="24"/>
          <w:szCs w:val="24"/>
        </w:rPr>
        <w:t>-Pročišćeni tekst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>), Gradsko vijeće Grada Ludbrega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na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3568D9">
        <w:rPr>
          <w:rFonts w:ascii="Arial" w:eastAsia="ArialMT" w:hAnsi="Arial" w:cs="Arial"/>
          <w:color w:val="000000"/>
          <w:sz w:val="24"/>
          <w:szCs w:val="24"/>
        </w:rPr>
        <w:t>2</w:t>
      </w:r>
      <w:r w:rsidR="00526156">
        <w:rPr>
          <w:rFonts w:ascii="Arial" w:eastAsia="ArialMT" w:hAnsi="Arial" w:cs="Arial"/>
          <w:color w:val="000000"/>
          <w:sz w:val="24"/>
          <w:szCs w:val="24"/>
        </w:rPr>
        <w:t>9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>s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jednici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održanoj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0745EE">
        <w:rPr>
          <w:rFonts w:ascii="Arial" w:eastAsia="ArialMT" w:hAnsi="Arial" w:cs="Arial"/>
          <w:color w:val="000000"/>
          <w:sz w:val="24"/>
          <w:szCs w:val="24"/>
        </w:rPr>
        <w:t>20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526156">
        <w:rPr>
          <w:rFonts w:ascii="Arial" w:eastAsia="ArialMT" w:hAnsi="Arial" w:cs="Arial"/>
          <w:color w:val="000000"/>
          <w:sz w:val="24"/>
          <w:szCs w:val="24"/>
        </w:rPr>
        <w:t>prosinca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201</w:t>
      </w:r>
      <w:r w:rsidR="00526156">
        <w:rPr>
          <w:rFonts w:ascii="Arial" w:eastAsia="ArialMT" w:hAnsi="Arial" w:cs="Arial"/>
          <w:color w:val="000000"/>
          <w:sz w:val="24"/>
          <w:szCs w:val="24"/>
        </w:rPr>
        <w:t>6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 godine, donosi</w:t>
      </w:r>
    </w:p>
    <w:p w:rsidR="00CD3590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D L U K U</w:t>
      </w: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izvršavanju Proračuna Grada Ludbrega</w:t>
      </w: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za 201</w:t>
      </w:r>
      <w:r w:rsidR="0089464F">
        <w:rPr>
          <w:rFonts w:ascii="Arial" w:hAnsi="Arial" w:cs="Arial"/>
          <w:b/>
          <w:bCs/>
          <w:sz w:val="24"/>
          <w:szCs w:val="24"/>
        </w:rPr>
        <w:t>7</w:t>
      </w:r>
      <w:r w:rsidRPr="00886DD0">
        <w:rPr>
          <w:rFonts w:ascii="Arial" w:hAnsi="Arial" w:cs="Arial"/>
          <w:b/>
          <w:bCs/>
          <w:sz w:val="24"/>
          <w:szCs w:val="24"/>
        </w:rPr>
        <w:t>. godinu</w:t>
      </w:r>
    </w:p>
    <w:p w:rsidR="00CD3590" w:rsidRDefault="00CD3590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F31F16" w:rsidRPr="00CD3590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24"/>
          <w:szCs w:val="24"/>
        </w:rPr>
      </w:pPr>
      <w:r w:rsidRPr="00CD3590">
        <w:rPr>
          <w:rFonts w:ascii="Arial" w:eastAsia="ArialMT" w:hAnsi="Arial" w:cs="Arial"/>
          <w:b/>
          <w:sz w:val="24"/>
          <w:szCs w:val="24"/>
        </w:rPr>
        <w:t>I. OPĆE ODREDBE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Ovom se Odlukom uređuje struktura prihoda i primitaka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rashoda i izd</w:t>
      </w:r>
      <w:r>
        <w:rPr>
          <w:rFonts w:ascii="Arial" w:eastAsia="ArialMT" w:hAnsi="Arial" w:cs="Arial"/>
          <w:color w:val="000000"/>
          <w:sz w:val="24"/>
          <w:szCs w:val="24"/>
        </w:rPr>
        <w:t>ataka Proračuna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njegovo izvršavanje, opseg zaduživanja i jamstva,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upravljanje dugom, te imovinom, prava i obveze korisnika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sredstava, ovlasti gradonačelnika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izvršavanju Proračuna te druga pitanja u izvršavanju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Proračuna, u skladu sa Zakonom o proračunu (»Narodne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>,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136/12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) - u daljnjem tekstu: Zakon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drugim propisima.</w:t>
      </w:r>
    </w:p>
    <w:p w:rsidR="008E0D49" w:rsidRPr="00C831B3" w:rsidRDefault="008E0D49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CD35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 se sastoji od Općeg i Posebnog dijela,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Plana razvojnih programa.</w:t>
      </w:r>
    </w:p>
    <w:p w:rsidR="00F31F16" w:rsidRDefault="00CD3590" w:rsidP="00CD35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Opći dio Proračuna se sastoji od Računa prihoda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rashoda, Računa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financiranja i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Raspoloživih sredstava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iz prethodnih godina.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Default="00CD3590" w:rsidP="00CD35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Računu prihoda i rashoda iskazani su prihodi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poslovanja, prihodi od prodaje nefinancijske imovine,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rashodi poslovanja, kao i rashodi za nabavu nefinancijske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imovine.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CD3590" w:rsidP="00CD35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Računu financiranja iskazuju se primici financiranja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izdaci za financijsku imovinu i otplate zajmova.</w:t>
      </w:r>
    </w:p>
    <w:p w:rsidR="00F31F16" w:rsidRPr="00C831B3" w:rsidRDefault="00CD3590" w:rsidP="00CD35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kategoriji Raspoloživa sredstva iz prethodnih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godina iskazani je procijenjeni manjak prihoda, odnosno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vlastitih izvora.</w:t>
      </w:r>
    </w:p>
    <w:p w:rsidR="00F31F16" w:rsidRPr="00C831B3" w:rsidRDefault="00CD3590" w:rsidP="00CD35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Posebni dio sadrži raspored rashoda i izdataka prema ekonomskoj, organizacijskoj, programskoj,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lokacijskoj i funkcijskoj klasifikaciji, izvorima financiranja,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po proračunskim korisnicima.</w:t>
      </w:r>
    </w:p>
    <w:p w:rsidR="00C81D8D" w:rsidRDefault="00CD3590" w:rsidP="00CD35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Plan razvojnih programa u tri godine čine planirani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rashodi vezani uz provođenje 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 xml:space="preserve">strateških ciljeva utvrđenih strategijom razvoja Grada 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L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>udbrega 2014-2020 godine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CD3590" w:rsidRDefault="00CD359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216EB1" w:rsidRPr="00CD3590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</w:p>
    <w:p w:rsidR="002C5424" w:rsidRPr="00CD3590" w:rsidRDefault="002C5424" w:rsidP="002C54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24"/>
          <w:szCs w:val="24"/>
        </w:rPr>
      </w:pPr>
      <w:r w:rsidRPr="00CD3590">
        <w:rPr>
          <w:rFonts w:ascii="Arial" w:eastAsia="ArialMT" w:hAnsi="Arial" w:cs="Arial"/>
          <w:b/>
          <w:color w:val="000000"/>
          <w:sz w:val="24"/>
          <w:szCs w:val="24"/>
        </w:rPr>
        <w:t>II. IZVRŠAVANJE PRORAČUNA</w:t>
      </w:r>
    </w:p>
    <w:p w:rsidR="00CD3590" w:rsidRDefault="00CD359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Sredstva Proračuna osiguravaju se proračunskim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korisnicima koji su u Posebnom dijelu Proračuna određeni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za nositelje sredstava po pojedinim pozicijama.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Na temelju iznosa planiranih Proračunom, korisnici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izrađuju financijske planove za čitavu godinu.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Korisnici smiju proračunska sredstva koristiti samo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za namjene koje su određene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Proračunom i to do visine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utvrđene u njegovu Posebnom dijelu i u skladu sa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svojim godišnjim financijskim planovima i programima,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a po dinamici utvrđenoj mjesečnim proračunskim odobrenjima,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skladu s raspoloživim sredstvima.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Za preuzimanje obveze koja zahtijeva plaćanje 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sljedećim godinama, korisnik mora dobiti suglasnost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Visina obveze iz stavka 4. ovog članka ne smije biti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veća od 20% naplaćenih vlastitih prihoda korisnika 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godini koja prethodi godini u kojoj se obveza preuzima.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Vlastiti prihodi koje korisnici ostvare obavljanjem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osnovne i ostalih djelatnosti na tržištu ili temeljem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posebnih propisa, iste koriste za namjene utvrđene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financijskim planovima, te nemaju obavezu uplate tih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sredstava u Proračun.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Korisnici su obvezni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>Odsjeku za proračun i financije Gra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>da Ludbrega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mjesečne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izvještaje o ostvarenim i utrošenim prihodima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iz stavka 1. ovog članka, a isti se dostavljaju 10 dana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po isteku mjeseca za koji se podnose.</w:t>
      </w:r>
    </w:p>
    <w:p w:rsidR="00351EC3" w:rsidRDefault="00351EC3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dužni su do 10.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u mjesecu po proteku svakog kvartala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Odsjeku za proračun i financije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Grada</w:t>
      </w:r>
      <w:r w:rsidR="00B32AE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>Ludbrega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financijske izvještaje za razdoblja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1. siječnja do 31. ožujka, 1. siječnja do 30. lipnja i 1.siječnja do 30. rujna.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u obvezi su izraditi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godišnji obračun za tekuću godinu i dostaviti ga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>Odsjeku za proračun</w:t>
      </w:r>
      <w:r w:rsidR="00B32AEC">
        <w:rPr>
          <w:rFonts w:ascii="Arial" w:eastAsia="ArialMT" w:hAnsi="Arial" w:cs="Arial"/>
          <w:color w:val="000000"/>
          <w:sz w:val="24"/>
          <w:szCs w:val="24"/>
        </w:rPr>
        <w:t xml:space="preserve"> i financije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>Grada Ludbrega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 xml:space="preserve"> do 31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. 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naredne godine.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Za planiranje i izvršavanje Proračuna gradonačelnik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je odgovoran Gradskom vijeću.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Nalogodavac i odgovorna osoba za izvršavanje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Proračuna je gradonačelnik.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Za potrebe likvidnosti Proračuna koriste se sredstva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posebnih namjena do potrebe njihova trošenja 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skladu s njihovom namjenom.</w:t>
      </w:r>
    </w:p>
    <w:p w:rsidR="00F31F16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Namjenska sredstva iz stavka 3. ovog članka 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izvršenju rashoda zbog kojih su i propisana, namiriti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će se na teret ostalih prihoda poslovanja.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5A35FC">
        <w:rPr>
          <w:rFonts w:ascii="Arial" w:eastAsia="ArialMT" w:hAnsi="Arial" w:cs="Arial"/>
          <w:color w:val="000000"/>
          <w:sz w:val="24"/>
          <w:szCs w:val="24"/>
        </w:rPr>
        <w:t xml:space="preserve">k,voditelji odsjeka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čelnici pravnih os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oba koji su korisnici Proračuna,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odgovorni su za planiranje i izvršavanje, zakonitost,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svrhovitost, učinkovitost i za ekonomično raspolaganje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raspoređenim sredstvima u Proračunu.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5A35FC">
        <w:rPr>
          <w:rFonts w:ascii="Arial" w:eastAsia="ArialMT" w:hAnsi="Arial" w:cs="Arial"/>
          <w:color w:val="000000"/>
          <w:sz w:val="24"/>
          <w:szCs w:val="24"/>
        </w:rPr>
        <w:t>Odsjeci su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 odgovorni su za prikupljanje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naplatu prihoda na računu Proračuna u skladu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sa zakonima i propisima donesenim na temelju zakona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sukladno namjenama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iznosima utvrđenim u Posebnom dijelu Proračuna.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lastRenderedPageBreak/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Pravne osobe – proračunski korisnici odgovorne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su za naplatu prihoda i primitaka u okviru svoje nadležnosti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u skladu s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odobrenim namjenama.</w:t>
      </w:r>
    </w:p>
    <w:p w:rsidR="00886DD0" w:rsidRDefault="00886DD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Rashodi Proračuna mogu se izvršavati do iznosa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planiranih, odnosno ostvarenih u prihodnoj strani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Svaki rashod i izdatak iz Proračuna mora se temeljiti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na vjerodostojnoj knjigovodstvenoj ispravi kojom se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dokazuje obveza plaćanja.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626171">
        <w:rPr>
          <w:rFonts w:ascii="Arial" w:eastAsia="ArialMT" w:hAnsi="Arial" w:cs="Arial"/>
          <w:color w:val="000000"/>
          <w:sz w:val="24"/>
          <w:szCs w:val="24"/>
        </w:rPr>
        <w:t>Pročelnik,voditelji odsjeka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te čelnik pravne osobe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proračunskog korisnika, odnosno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osoba na koju je to pravo preneseno, mora prije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isplate provjeriti i potvrditi potpisom pravni temelj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visinu obveze koja proizlazi iz knjigovodstvene isprave.</w:t>
      </w:r>
    </w:p>
    <w:p w:rsidR="00675866" w:rsidRDefault="0067586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Sredstva za aktivnosti i projekte koja se izvršavaju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kao subvencije, donacije i pomoći pojedinom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korisniku, raspoređu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ju se zaključkom gradonačelnika,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ukoliko krajnji korisnik ili način korištenja sredstva nije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utvrđen samim Proračunom, odnosno drugim aktom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CD3590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Hitni i nepredviđeni izdaci, te izdaci za neplanirane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il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i nedovoljno planirane izdatke,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koji se pojave tijekom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proračunske godine, podmiruju se iz nepredviđenih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rashoda do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visine proračunske zalihe utvrđene godišnjim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Proračunom.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Sredstva proračunske zalihe mogu iznositi najviše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0,5% proračunskih prihoda bez primitaka.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Proračunu su planirana sredstva proračunske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zalihe u iznosu od 50.000,00 kuna.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 korištenju sredstava proračunske zalihe odlučuje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gradonačelnik.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8B4C6D">
        <w:rPr>
          <w:rFonts w:ascii="Arial" w:eastAsia="ArialMT" w:hAnsi="Arial" w:cs="Arial"/>
          <w:color w:val="000000"/>
          <w:sz w:val="24"/>
          <w:szCs w:val="24"/>
        </w:rPr>
        <w:t>Sredstva proračunske zalihe se prvim slijedećim rebalansom preraspoređuju po proračunskom pozicijama po ekonomskoj klasifikaciji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10.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Ukoliko tijekom godine dođe do znatnije neusklađenosti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planiranih prihoda i/ili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primitaka i rashoda i/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ili izdataka Proračuna, gradonačelnik može poduzeti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mjere za uravnoteženje, u skladu sa Zakonom.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Ako se primjenom privremenih mjera ne uravnoteži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Proračun, njegovo uravnoteženje, odnosno preraspodjelu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sredstava između upravnih tijela odnosno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proračunskih korisnika, utvrditi će Gradsko vijeće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izmjenama i dopunama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Gradonačelnik može odobriti preraspodjelu sredstava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za rashode poslovanja,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nabavu nefinancijske imovine,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izdatke za financijsku imovinu i otplate zajmova unutar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pojedinog razdjela i između pojedinih razdjela, a 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prijedl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>og pročelnika</w:t>
      </w:r>
      <w:r w:rsidR="008D2D30">
        <w:rPr>
          <w:rFonts w:ascii="Arial" w:eastAsia="ArialMT" w:hAnsi="Arial" w:cs="Arial"/>
          <w:color w:val="000000"/>
          <w:sz w:val="24"/>
          <w:szCs w:val="24"/>
        </w:rPr>
        <w:t xml:space="preserve"> ili voditelja odsjeka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i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odgovarajuće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dokumentacije.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Gradonačelnik je obvezan izvijestiti Gradsko vijeće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na prvoj narednoj sjednici o preraspodjeli sredstava,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a najkasnije u roku od tri mjeseca.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CD3590" w:rsidRDefault="00CD359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CD3590" w:rsidRDefault="00CD359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CD3590" w:rsidRDefault="00CD359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Članak 12.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A75620" w:rsidRDefault="00CD3590" w:rsidP="00516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Plaćanje predujma moguće je samo iznimno i 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temelju prethodne suglasnosti gradonačelnika.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Iznimno od stavka 1. ovog članka, moguće su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isplate predujma do 5.000,00 kuna.</w:t>
      </w:r>
    </w:p>
    <w:p w:rsidR="00CD3590" w:rsidRDefault="00CD3590" w:rsidP="00516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13.</w:t>
      </w:r>
    </w:p>
    <w:p w:rsidR="00CD3590" w:rsidRDefault="00CD359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Postupak nabavke investicijskih dobara i usluga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mora se obavljati u skladu sa zakonskim propisima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 postupku nabave roba i usluga i ustupanju radova.</w:t>
      </w:r>
    </w:p>
    <w:p w:rsidR="00CD3590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Proračunskim korisnicima, kojima se u Proračunu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osiguravaju sredstva za plaće i sredstva za materijalna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prava na teret ostalih rashoda za zaposlene i materijalnih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rashoda, utvrđuje se ovom Odlukom jedinstveno,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prema mogućnostima ukupnosti financijskih sredstva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korisnika, odnosno do visine utvrđene odlukama Gradskog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vijeća i gradonačelnika.</w:t>
      </w:r>
    </w:p>
    <w:p w:rsidR="00CD3590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Službenici i namještenici zaposleni u Upravnim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tijelima Grada Ludbrega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, materijalna prava za korištenje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godišnjih odmora, nagrade za božićne i uskrsne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blagdane, te ostala materijalna prava na teret ostalih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rashoda za zaposlene i na teret materijalnih rashoda,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mogu isplaćivati prema raspoloživim ukupnim financijskim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sredstvima u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Proračunu, a do visine materijalnih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prava utvrđenih Pravilnikom o materijalnim pravima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Grada Ludbrega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CD3590" w:rsidP="00CD35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Visinu materijalnih prava iz prethodnog stavka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odlukom utvrđuje gradonačelnik.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Financijski dijelovi posebnih programa javnih potreba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koji se donose uz Proračun, izvršavat će se 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način i u iznosima utvrđenim tim programima.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Zbog izuzetnih okolnosti i opravdanih razloga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programi javnih potreba mogu se izvršavati i u iznosima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drugačijim od planiranih, sukladno izmjenama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dopunama Proračuna ili prema posebnom zaključku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Sredstva namijenjena financiranju dobrovoljnog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vatrogastva realizirat će se putem gradske Vatrogasne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zajednice, kroz mjesečne donacije.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Raspored sredstava vatrogastva donosi gradska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Vatrogasna zajednica uz suglasnost gradonačelnika,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skladu sa raspoloživim sredstvima.</w:t>
      </w:r>
    </w:p>
    <w:p w:rsidR="00CD3590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Sredstva namijenjena razvoju turizma planirana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posebnom dijelu Proračuna realizirat će se putem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Turističke zajednice, temeljem pojedinačnih zahtjeva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koje odlukom odobrava gradonačelnik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 xml:space="preserve"> ili pročelnik uz odobrenje gradonačelnika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DF5C49">
        <w:rPr>
          <w:rFonts w:ascii="Arial" w:eastAsia="ArialMT" w:hAnsi="Arial" w:cs="Arial"/>
          <w:color w:val="000000"/>
          <w:sz w:val="24"/>
          <w:szCs w:val="24"/>
        </w:rPr>
        <w:t>Na isti način realizirati će se i sredstva za promidžbu te za društveno humanitarne udruge.</w:t>
      </w:r>
    </w:p>
    <w:p w:rsidR="00DF5C49" w:rsidRDefault="00DF5C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CD3590" w:rsidRDefault="00CD359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Članak 19.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Raspodjelu sredstava udrugama i drugim korisnicima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proračunskih sredstava koji nisu obuhvaćeni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posebnim programima Gradskog vijeća, na temelju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njihovih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programa rada i financijskih planova, te zahtjeva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posebnom odlukom utvrđuje gradonačelnik.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Ukoliko udruge i drugi korisnici proračunskih sredstava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nisu dostavili programe rada i financijske planove,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sredstva odobrena odlukom iz prethodnog stavka ovog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članka,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moći će koristiti po dostavi programa rada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financijskog plana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iz stavka 1. ovog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članka, kao i korisnici koji su obuhvaćeni posebnim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programima Gradskog vijeća, u obvezi su dostaviti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financijska izvješća za prethodnu godinu nadležnom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upravnom odjelu do 31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tekuće godine.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Korisnicima proračunskih sredstava koji do navedenog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roka ne dostave spomenuta financijska izvješća,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obustavit će se isplata proračunskih sredstava do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dostave izvješća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20.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8F330A">
        <w:rPr>
          <w:rFonts w:ascii="Arial" w:eastAsia="ArialMT" w:hAnsi="Arial" w:cs="Arial"/>
          <w:color w:val="000000"/>
          <w:sz w:val="24"/>
          <w:szCs w:val="24"/>
        </w:rPr>
        <w:t xml:space="preserve">Odsjek za proračun </w:t>
      </w:r>
      <w:r w:rsidR="007B77AE">
        <w:rPr>
          <w:rFonts w:ascii="Arial" w:eastAsia="ArialMT" w:hAnsi="Arial" w:cs="Arial"/>
          <w:color w:val="000000"/>
          <w:sz w:val="24"/>
          <w:szCs w:val="24"/>
        </w:rPr>
        <w:t>i financije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ima pravo nadzora nad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financijskim, materijalnim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računovodstvenim poslovanjem proračunskih korisnika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nad zakonitošću i namjenskom uporabom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proračunskih sredstava.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Proračunski korisnici obvezni su dati sve potrebite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podatke, isprave i izvješća koja se od njih zatraže.</w:t>
      </w:r>
    </w:p>
    <w:p w:rsidR="00F31F16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Ako se prilikom vršenja proračunskog nadzora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utvrd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i da su sredstva bila korištena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protivno zakonu ili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Proračunu, izvijestiti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će se gradonačelnik Grada Ludbrega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poduzeti sve dozvoljene mjere da se nadoknade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tako utrošena sredstva ili će se privremeno obustaviti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isplata sredstava na stavki s kojih su sredstva bila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nenamjenski utrošena.</w:t>
      </w:r>
    </w:p>
    <w:p w:rsidR="00CD3590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Višak prihoda koji je nastao na kraju proračunske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godine zbog tehničkih i drugih nemogućnosti izvršenja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preuzetih obveza ili većeg priliva sredstava od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planiranog i raspoređenog, rasporedit će prilikom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donošenja Godišnjeg obračuna Proračuna odlukom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slučaju nastanka proračunskog manjka, kod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donošenja Godišnjeg obračuna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Proračuna odlukom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Gradskog vijeća utvrdit će se način njegovog pokrića.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Grad se može zaduživati za kapitalna ulaganja, 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skladu sa Zakonom i ostalim propisima.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Odluku o zaduživanju Grada i davanju jamstva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donosi Gradsko vijeće, uz suglasnost i po postupku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propisanom Zakonom.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Ustanova i trgovačko društvo čiji je osnivač, odnosno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većinski vlasnik Grad, može se dugoročno zadužiti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samo za investiciju, te uz suglasnost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Gradskog vijeća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a iznos tog zaduženja uključuje se u opseg mogućeg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zaduženja Grada.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CD3590" w:rsidRDefault="00CD359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CD3590" w:rsidRDefault="00CD359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Članak 24.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CD3590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7D79B1">
        <w:rPr>
          <w:rFonts w:ascii="Arial" w:eastAsia="ArialMT" w:hAnsi="Arial" w:cs="Arial"/>
          <w:color w:val="000000"/>
          <w:sz w:val="24"/>
          <w:szCs w:val="24"/>
        </w:rPr>
        <w:t>Odsjek za proračun i financije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podnosi gradonačelniku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tromjesečne izvještaje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 izvršenju Proračuna.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Godišnji i polugodišnji izvještaj o izvršenju Proračuna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dostavlja se gradonačelniku i Gradskom vijeću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rokovima propisanim Zakonom.</w:t>
      </w:r>
    </w:p>
    <w:p w:rsidR="00516C0B" w:rsidRDefault="00516C0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</w:p>
    <w:p w:rsidR="00F31F16" w:rsidRPr="00CD3590" w:rsidRDefault="00F31F16" w:rsidP="002C54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24"/>
          <w:szCs w:val="24"/>
        </w:rPr>
      </w:pPr>
      <w:r w:rsidRPr="00CD3590">
        <w:rPr>
          <w:rFonts w:ascii="Arial" w:eastAsia="ArialMT" w:hAnsi="Arial" w:cs="Arial"/>
          <w:b/>
          <w:sz w:val="24"/>
          <w:szCs w:val="24"/>
        </w:rPr>
        <w:t>III. ZAVRŠNA ODREDBA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86DD0" w:rsidRDefault="00CD3590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Ova Odluka objavit će se u »Službenom vjesniku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Varaždinske županije«, </w:t>
      </w:r>
      <w:r w:rsidR="00801DCB">
        <w:rPr>
          <w:rFonts w:ascii="Arial" w:eastAsia="ArialMT" w:hAnsi="Arial" w:cs="Arial"/>
          <w:color w:val="000000"/>
          <w:sz w:val="24"/>
          <w:szCs w:val="24"/>
        </w:rPr>
        <w:t>i stupa na snagu 01.si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ječnja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201</w:t>
      </w:r>
      <w:r w:rsidR="00486753">
        <w:rPr>
          <w:rFonts w:ascii="Arial" w:eastAsia="ArialMT" w:hAnsi="Arial" w:cs="Arial"/>
          <w:color w:val="000000"/>
          <w:sz w:val="24"/>
          <w:szCs w:val="24"/>
        </w:rPr>
        <w:t>7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 godine.</w:t>
      </w:r>
    </w:p>
    <w:p w:rsidR="00CD3590" w:rsidRDefault="00CD3590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CD3590" w:rsidRDefault="00CD3590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F31F16" w:rsidRPr="00886DD0" w:rsidRDefault="00F31F16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>Predsjedni</w:t>
      </w:r>
      <w:r w:rsidR="00A81588">
        <w:rPr>
          <w:rFonts w:ascii="Arial" w:eastAsia="ArialMT" w:hAnsi="Arial" w:cs="Arial"/>
          <w:b w:val="0"/>
        </w:rPr>
        <w:t>ca</w:t>
      </w:r>
      <w:r w:rsidRPr="00886DD0">
        <w:rPr>
          <w:rFonts w:ascii="Arial" w:eastAsia="ArialMT" w:hAnsi="Arial" w:cs="Arial"/>
          <w:b w:val="0"/>
        </w:rPr>
        <w:t xml:space="preserve"> Gradskog vijeća</w:t>
      </w:r>
    </w:p>
    <w:p w:rsidR="00886DD0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Grada Ludbrega</w:t>
      </w:r>
    </w:p>
    <w:p w:rsidR="0056627F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  </w:t>
      </w:r>
      <w:r w:rsidR="00516C0B">
        <w:rPr>
          <w:rFonts w:ascii="Arial" w:eastAsia="ArialMT" w:hAnsi="Arial" w:cs="Arial"/>
          <w:b w:val="0"/>
        </w:rPr>
        <w:t>Renata Potočnik</w:t>
      </w:r>
    </w:p>
    <w:p w:rsidR="001B2705" w:rsidRPr="00886DD0" w:rsidRDefault="001B2705" w:rsidP="00886DD0">
      <w:pPr>
        <w:pStyle w:val="Naslov1"/>
        <w:ind w:left="5664"/>
        <w:rPr>
          <w:rFonts w:ascii="Arial" w:hAnsi="Arial" w:cs="Arial"/>
          <w:b w:val="0"/>
        </w:rPr>
      </w:pPr>
    </w:p>
    <w:sectPr w:rsidR="001B2705" w:rsidRPr="00886DD0" w:rsidSect="008E0D4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6F" w:rsidRDefault="00835C6F" w:rsidP="00F31F16">
      <w:pPr>
        <w:spacing w:after="0" w:line="240" w:lineRule="auto"/>
      </w:pPr>
      <w:r>
        <w:separator/>
      </w:r>
    </w:p>
  </w:endnote>
  <w:endnote w:type="continuationSeparator" w:id="0">
    <w:p w:rsidR="00835C6F" w:rsidRDefault="00835C6F" w:rsidP="00F3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6F" w:rsidRDefault="00835C6F" w:rsidP="00F31F16">
      <w:pPr>
        <w:spacing w:after="0" w:line="240" w:lineRule="auto"/>
      </w:pPr>
      <w:r>
        <w:separator/>
      </w:r>
    </w:p>
  </w:footnote>
  <w:footnote w:type="continuationSeparator" w:id="0">
    <w:p w:rsidR="00835C6F" w:rsidRDefault="00835C6F" w:rsidP="00F3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B3"/>
    <w:rsid w:val="00012711"/>
    <w:rsid w:val="00021AF4"/>
    <w:rsid w:val="0002439A"/>
    <w:rsid w:val="0003421F"/>
    <w:rsid w:val="00034E68"/>
    <w:rsid w:val="000745EE"/>
    <w:rsid w:val="000B707C"/>
    <w:rsid w:val="000E4D02"/>
    <w:rsid w:val="000F0FA7"/>
    <w:rsid w:val="00116C88"/>
    <w:rsid w:val="00132E22"/>
    <w:rsid w:val="00162DEA"/>
    <w:rsid w:val="00165E23"/>
    <w:rsid w:val="001B2705"/>
    <w:rsid w:val="001E70DD"/>
    <w:rsid w:val="0021481E"/>
    <w:rsid w:val="00216EB1"/>
    <w:rsid w:val="00231889"/>
    <w:rsid w:val="0025227E"/>
    <w:rsid w:val="00276134"/>
    <w:rsid w:val="00290ECF"/>
    <w:rsid w:val="002C5424"/>
    <w:rsid w:val="00310BA9"/>
    <w:rsid w:val="0033015B"/>
    <w:rsid w:val="00337D99"/>
    <w:rsid w:val="00345634"/>
    <w:rsid w:val="00351EC3"/>
    <w:rsid w:val="003568D9"/>
    <w:rsid w:val="0038519A"/>
    <w:rsid w:val="003A08C3"/>
    <w:rsid w:val="00437686"/>
    <w:rsid w:val="00460834"/>
    <w:rsid w:val="00486753"/>
    <w:rsid w:val="004C638A"/>
    <w:rsid w:val="00516C0B"/>
    <w:rsid w:val="00526156"/>
    <w:rsid w:val="0056627F"/>
    <w:rsid w:val="00577F32"/>
    <w:rsid w:val="005A0032"/>
    <w:rsid w:val="005A35FC"/>
    <w:rsid w:val="005C2C13"/>
    <w:rsid w:val="005C50A6"/>
    <w:rsid w:val="005D487C"/>
    <w:rsid w:val="006034C1"/>
    <w:rsid w:val="006203EA"/>
    <w:rsid w:val="00626171"/>
    <w:rsid w:val="00675866"/>
    <w:rsid w:val="00686A94"/>
    <w:rsid w:val="006C13D4"/>
    <w:rsid w:val="006F5407"/>
    <w:rsid w:val="007A2134"/>
    <w:rsid w:val="007B77AE"/>
    <w:rsid w:val="007D79B1"/>
    <w:rsid w:val="00801DCB"/>
    <w:rsid w:val="00835C6F"/>
    <w:rsid w:val="00857D94"/>
    <w:rsid w:val="00872316"/>
    <w:rsid w:val="00872727"/>
    <w:rsid w:val="00886DD0"/>
    <w:rsid w:val="0089060C"/>
    <w:rsid w:val="0089464F"/>
    <w:rsid w:val="008B4C6D"/>
    <w:rsid w:val="008C7DD3"/>
    <w:rsid w:val="008D2D30"/>
    <w:rsid w:val="008E0D49"/>
    <w:rsid w:val="008F330A"/>
    <w:rsid w:val="009109C6"/>
    <w:rsid w:val="00924563"/>
    <w:rsid w:val="00973016"/>
    <w:rsid w:val="009858CC"/>
    <w:rsid w:val="009D4B28"/>
    <w:rsid w:val="009E3C06"/>
    <w:rsid w:val="00A75620"/>
    <w:rsid w:val="00A81588"/>
    <w:rsid w:val="00A818F1"/>
    <w:rsid w:val="00AB5151"/>
    <w:rsid w:val="00AC394E"/>
    <w:rsid w:val="00AE17A6"/>
    <w:rsid w:val="00B32AEC"/>
    <w:rsid w:val="00B56B57"/>
    <w:rsid w:val="00BE1479"/>
    <w:rsid w:val="00C00771"/>
    <w:rsid w:val="00C234A7"/>
    <w:rsid w:val="00C24BD6"/>
    <w:rsid w:val="00C81D8D"/>
    <w:rsid w:val="00C831B3"/>
    <w:rsid w:val="00CC509E"/>
    <w:rsid w:val="00CD3590"/>
    <w:rsid w:val="00D22718"/>
    <w:rsid w:val="00DB1779"/>
    <w:rsid w:val="00DF5C49"/>
    <w:rsid w:val="00E101D4"/>
    <w:rsid w:val="00E728D0"/>
    <w:rsid w:val="00E82ADA"/>
    <w:rsid w:val="00E842D9"/>
    <w:rsid w:val="00F30556"/>
    <w:rsid w:val="00F31F16"/>
    <w:rsid w:val="00F669CD"/>
    <w:rsid w:val="00FA2A65"/>
    <w:rsid w:val="00FA2BD6"/>
    <w:rsid w:val="00FA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16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669C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31F16"/>
  </w:style>
  <w:style w:type="paragraph" w:styleId="Podnoje">
    <w:name w:val="footer"/>
    <w:basedOn w:val="Normal"/>
    <w:link w:val="PodnojeChar"/>
    <w:uiPriority w:val="99"/>
    <w:semiHidden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F31F16"/>
  </w:style>
  <w:style w:type="paragraph" w:styleId="Tekstbalonia">
    <w:name w:val="Balloon Text"/>
    <w:basedOn w:val="Normal"/>
    <w:link w:val="TekstbaloniaCh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CD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669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Tajnica</cp:lastModifiedBy>
  <cp:revision>157</cp:revision>
  <cp:lastPrinted>2016-12-07T06:47:00Z</cp:lastPrinted>
  <dcterms:created xsi:type="dcterms:W3CDTF">2012-11-12T06:57:00Z</dcterms:created>
  <dcterms:modified xsi:type="dcterms:W3CDTF">2016-12-12T20:13:00Z</dcterms:modified>
</cp:coreProperties>
</file>