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39752A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2132B6" w:rsidRPr="00422894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hr-BA"/>
        </w:rPr>
      </w:pPr>
    </w:p>
    <w:p w:rsidR="002132B6" w:rsidRPr="00422894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hr-BA"/>
        </w:rPr>
      </w:pPr>
      <w:bookmarkStart w:id="0" w:name="_GoBack"/>
      <w:bookmarkEnd w:id="0"/>
      <w:r w:rsidRPr="00422894">
        <w:rPr>
          <w:rFonts w:asciiTheme="majorHAnsi" w:hAnsiTheme="majorHAnsi" w:cs="Times New Roman"/>
          <w:b/>
          <w:sz w:val="32"/>
          <w:szCs w:val="32"/>
          <w:lang w:val="hr-BA"/>
        </w:rPr>
        <w:t>Varaždinska županija</w:t>
      </w: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hr-BA"/>
        </w:rPr>
      </w:pP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  <w:lang w:val="hr-BA"/>
        </w:rPr>
      </w:pPr>
      <w:r w:rsidRPr="00422894">
        <w:rPr>
          <w:rFonts w:asciiTheme="majorHAnsi" w:hAnsiTheme="majorHAnsi" w:cs="Times New Roman"/>
          <w:b/>
          <w:sz w:val="32"/>
          <w:szCs w:val="32"/>
          <w:lang w:val="hr-BA"/>
        </w:rPr>
        <w:t>PROGRAM RASPOLAGANJA POLJOPRIVREDNIM ZEMLJIŠTEM U VLASNIŠTVU REPUBLIKE HRVATSKE</w:t>
      </w: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  <w:lang w:val="hr-BA"/>
        </w:rPr>
      </w:pP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32"/>
          <w:szCs w:val="32"/>
          <w:lang w:val="hr-BA"/>
        </w:rPr>
      </w:pPr>
    </w:p>
    <w:p w:rsidR="002132B6" w:rsidRPr="00422894" w:rsidRDefault="002132B6" w:rsidP="0039752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22894">
        <w:rPr>
          <w:rFonts w:asciiTheme="majorHAnsi" w:hAnsiTheme="majorHAnsi" w:cs="Times New Roman"/>
          <w:b/>
          <w:sz w:val="32"/>
          <w:szCs w:val="32"/>
          <w:lang w:val="hr-BA"/>
        </w:rPr>
        <w:t>Grad Ludbreg</w:t>
      </w: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132B6" w:rsidRPr="00422894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Default="002132B6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752A" w:rsidRPr="0039752A" w:rsidRDefault="0039752A" w:rsidP="0039752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ind w:right="-419"/>
        <w:jc w:val="center"/>
        <w:rPr>
          <w:rFonts w:asciiTheme="majorHAnsi" w:eastAsia="Arial" w:hAnsiTheme="majorHAnsi"/>
          <w:b/>
          <w:sz w:val="28"/>
          <w:szCs w:val="28"/>
        </w:rPr>
      </w:pPr>
      <w:r w:rsidRPr="0039752A">
        <w:rPr>
          <w:rFonts w:asciiTheme="majorHAnsi" w:eastAsia="Arial" w:hAnsiTheme="majorHAnsi"/>
          <w:b/>
          <w:sz w:val="28"/>
          <w:szCs w:val="28"/>
        </w:rPr>
        <w:t>P R O G R A M</w:t>
      </w:r>
    </w:p>
    <w:p w:rsidR="002132B6" w:rsidRPr="0039752A" w:rsidRDefault="002132B6" w:rsidP="0039752A">
      <w:pPr>
        <w:spacing w:after="0" w:line="240" w:lineRule="auto"/>
        <w:ind w:right="-419"/>
        <w:jc w:val="center"/>
        <w:rPr>
          <w:rFonts w:asciiTheme="majorHAnsi" w:eastAsia="Arial" w:hAnsiTheme="majorHAnsi"/>
          <w:b/>
          <w:sz w:val="28"/>
          <w:szCs w:val="28"/>
        </w:rPr>
      </w:pPr>
      <w:r w:rsidRPr="0039752A">
        <w:rPr>
          <w:rFonts w:asciiTheme="majorHAnsi" w:eastAsia="Arial" w:hAnsiTheme="majorHAnsi"/>
          <w:b/>
          <w:sz w:val="28"/>
          <w:szCs w:val="28"/>
        </w:rPr>
        <w:t>raspolaganja poljoprivrednim zemljištem</w:t>
      </w:r>
    </w:p>
    <w:p w:rsidR="002132B6" w:rsidRPr="0039752A" w:rsidRDefault="002132B6" w:rsidP="0039752A">
      <w:pPr>
        <w:spacing w:after="0" w:line="240" w:lineRule="auto"/>
        <w:ind w:right="-419"/>
        <w:jc w:val="center"/>
        <w:rPr>
          <w:rFonts w:asciiTheme="majorHAnsi" w:eastAsia="Arial" w:hAnsiTheme="majorHAnsi"/>
          <w:b/>
          <w:sz w:val="28"/>
          <w:szCs w:val="28"/>
        </w:rPr>
      </w:pPr>
      <w:r w:rsidRPr="0039752A">
        <w:rPr>
          <w:rFonts w:asciiTheme="majorHAnsi" w:eastAsia="Arial" w:hAnsiTheme="majorHAnsi"/>
          <w:b/>
          <w:sz w:val="28"/>
          <w:szCs w:val="28"/>
        </w:rPr>
        <w:t>u vlasništvu Republike Hrvatske za Grad Ludbreg</w:t>
      </w: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4400C9" w:rsidRDefault="002132B6" w:rsidP="004400C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Arial" w:hAnsiTheme="majorHAnsi"/>
          <w:b/>
          <w:sz w:val="24"/>
          <w:szCs w:val="24"/>
        </w:rPr>
      </w:pPr>
      <w:r w:rsidRPr="004400C9">
        <w:rPr>
          <w:rFonts w:asciiTheme="majorHAnsi" w:eastAsia="Arial" w:hAnsiTheme="majorHAnsi"/>
          <w:b/>
          <w:sz w:val="24"/>
          <w:szCs w:val="24"/>
        </w:rPr>
        <w:t>UVOD</w:t>
      </w:r>
    </w:p>
    <w:p w:rsidR="002132B6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13718A" w:rsidRPr="0039752A" w:rsidRDefault="0013718A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Poljoprivredno zemljište je dobro od interesa za Republiku Hrvatsku i ima njezinu osobitu zaštitu. Poljoprivrednim zemljištem smatraju se poljoprivredne površine: oranice, vrtovi, livade, pašnjaci, voćnjaci, maslinici, vinogradi, ribnjaci, trstici i močvare kao i drugo zemljište koje se može privesti poljoprivrednoj proizvodnji.</w:t>
      </w:r>
      <w:r w:rsidR="00603B0A" w:rsidRPr="0039752A">
        <w:rPr>
          <w:rFonts w:asciiTheme="majorHAnsi" w:eastAsia="Arial" w:hAnsiTheme="majorHAnsi"/>
          <w:sz w:val="24"/>
          <w:szCs w:val="24"/>
        </w:rPr>
        <w:t xml:space="preserve"> </w:t>
      </w: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Poljoprivrednim zemljištem u vlasništvu države raspolaže se prema odredbama Zakona o poljoprivrednom zemljištu (Narodne novine 20/18 - dalje u tekstu Zakon) na temelju Programa raspolaganja poljoprivrednim zemljištem u vlasništvu države. Grad Ludbreg ne može raspolagati poljoprivrednim zemljištem u vlasništvu države bez donošenja Programa. Program ne obuhvaća područje ekološke mreže.</w:t>
      </w:r>
    </w:p>
    <w:p w:rsidR="0039752A" w:rsidRDefault="0039752A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Glavni ciljevi koji se žele postići donošenjem Programa su:</w:t>
      </w:r>
    </w:p>
    <w:p w:rsidR="002132B6" w:rsidRDefault="002132B6" w:rsidP="003975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efikasnije raspolaganje poljoprivrednim zemljištem,</w:t>
      </w:r>
    </w:p>
    <w:p w:rsidR="0039752A" w:rsidRDefault="002132B6" w:rsidP="0039752A">
      <w:pPr>
        <w:pStyle w:val="Odlomakpopisa"/>
        <w:numPr>
          <w:ilvl w:val="0"/>
          <w:numId w:val="8"/>
        </w:numPr>
        <w:spacing w:after="0" w:line="240" w:lineRule="auto"/>
        <w:ind w:right="-8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okrupnjavanje zemljišta i stavljanje u funk</w:t>
      </w:r>
      <w:r w:rsidR="0039752A">
        <w:rPr>
          <w:rFonts w:asciiTheme="majorHAnsi" w:eastAsia="Arial" w:hAnsiTheme="majorHAnsi"/>
          <w:sz w:val="24"/>
          <w:szCs w:val="24"/>
        </w:rPr>
        <w:t>ciju zapuštenog poljoprivrednog zemljišta,</w:t>
      </w:r>
    </w:p>
    <w:p w:rsidR="002132B6" w:rsidRPr="0039752A" w:rsidRDefault="002132B6" w:rsidP="0039752A">
      <w:pPr>
        <w:pStyle w:val="Odlomakpopisa"/>
        <w:numPr>
          <w:ilvl w:val="0"/>
          <w:numId w:val="8"/>
        </w:numPr>
        <w:spacing w:after="0" w:line="240" w:lineRule="auto"/>
        <w:ind w:right="820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povećanje proizvodne funkcionalnosti poljoprivrednog zemljišta,</w:t>
      </w:r>
    </w:p>
    <w:p w:rsidR="002132B6" w:rsidRPr="0039752A" w:rsidRDefault="002132B6" w:rsidP="0039752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usklađenje stanja u katastru sa stanjem u zemljišnim knjigama.</w:t>
      </w: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Programom se ne mogu umanjivati proizvodno-tehnološke cjeline koje su u funkciji proizvodnje, osim iznimno za dodjelu zamjenskog zemljišta u postupcima povrata oduzete imovine. Proizvodno-tehnološka cjelina označava dio katastarske čestice, jednu katastarsku česticu, skup dijelova katastarskih čestica ili skup katastarskih čestica neposredno povezanih u jednu cjelinu radi racionalnije proizvodnje.</w:t>
      </w:r>
    </w:p>
    <w:p w:rsidR="00542B41" w:rsidRPr="0039752A" w:rsidRDefault="00542B41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4400C9" w:rsidRDefault="002132B6" w:rsidP="004400C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4400C9">
        <w:rPr>
          <w:rFonts w:asciiTheme="majorHAnsi" w:eastAsia="Arial" w:hAnsiTheme="majorHAnsi" w:cs="Times New Roman"/>
          <w:b/>
          <w:sz w:val="24"/>
          <w:szCs w:val="24"/>
        </w:rPr>
        <w:t>SADRŽAJ PROGRAMA</w:t>
      </w:r>
    </w:p>
    <w:p w:rsidR="002132B6" w:rsidRDefault="002132B6" w:rsidP="00397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3718A" w:rsidRPr="0039752A" w:rsidRDefault="0013718A" w:rsidP="0039752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Program sadržava:</w:t>
      </w: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203D7F" w:rsidRDefault="002132B6" w:rsidP="00203D7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ukupnu površinu poljoprivrednog zemljišta u vlasništvu države na području Grada Ludbrega;</w:t>
      </w:r>
    </w:p>
    <w:p w:rsidR="00203D7F" w:rsidRDefault="002132B6" w:rsidP="00203D7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podatke o dosadašnjem raspolaganju poljoprivrednim zemljištem u vlasništvu države na području Grada Ludbrega;</w:t>
      </w:r>
    </w:p>
    <w:p w:rsidR="00203D7F" w:rsidRDefault="002132B6" w:rsidP="0039752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površine poljoprivrednog zemljišta u vlasništvu države prema oblicima raspolaganja i to:</w:t>
      </w:r>
    </w:p>
    <w:p w:rsidR="00203D7F" w:rsidRDefault="002132B6" w:rsidP="00203D7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površine određene za povrat i za zamjenu u slučajevima kada nije moguć povrat imovine oduzete za vrijeme jugos</w:t>
      </w:r>
      <w:r w:rsidR="00203D7F">
        <w:rPr>
          <w:rFonts w:asciiTheme="majorHAnsi" w:eastAsia="Arial" w:hAnsiTheme="majorHAnsi"/>
          <w:sz w:val="24"/>
          <w:szCs w:val="24"/>
        </w:rPr>
        <w:t>lavenske komunističke vladavine</w:t>
      </w:r>
    </w:p>
    <w:p w:rsidR="00203D7F" w:rsidRDefault="002132B6" w:rsidP="00203D7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površine određene za prodaju, jednokratno, maksimalno do 25% ukupne površine poljoprivrednog zemljišta u vlasništvu države,</w:t>
      </w:r>
    </w:p>
    <w:p w:rsidR="00203D7F" w:rsidRDefault="002132B6" w:rsidP="0039752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203D7F">
        <w:rPr>
          <w:rFonts w:asciiTheme="majorHAnsi" w:eastAsia="Arial" w:hAnsiTheme="majorHAnsi"/>
          <w:sz w:val="24"/>
          <w:szCs w:val="24"/>
        </w:rPr>
        <w:t>površine određene za zakup.</w:t>
      </w:r>
    </w:p>
    <w:p w:rsidR="003A558B" w:rsidRDefault="002132B6" w:rsidP="003A558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A558B">
        <w:rPr>
          <w:rFonts w:asciiTheme="majorHAnsi" w:eastAsia="Arial" w:hAnsiTheme="majorHAnsi"/>
          <w:sz w:val="24"/>
          <w:szCs w:val="24"/>
        </w:rPr>
        <w:t>maksimalnu površinu koja se može dati u zakup</w:t>
      </w:r>
      <w:r w:rsidR="003A558B">
        <w:rPr>
          <w:rFonts w:asciiTheme="majorHAnsi" w:eastAsia="Arial" w:hAnsiTheme="majorHAnsi"/>
          <w:sz w:val="24"/>
          <w:szCs w:val="24"/>
        </w:rPr>
        <w:t>.</w:t>
      </w:r>
    </w:p>
    <w:p w:rsidR="003A558B" w:rsidRDefault="003A558B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bookmarkStart w:id="1" w:name="page3"/>
      <w:bookmarkEnd w:id="1"/>
    </w:p>
    <w:p w:rsidR="002132B6" w:rsidRPr="0039752A" w:rsidRDefault="002132B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lastRenderedPageBreak/>
        <w:t>Na području Grada Ludbrega ne određuju se površine za zakup ribnjaka, površine za zakup zajedničkih pašnjaka, te površine za ostale namjene, odnosno površine koje se mogu privesti nekoj drugoj nepoljoprivrednoj namjeni.</w:t>
      </w:r>
    </w:p>
    <w:p w:rsidR="003A558B" w:rsidRDefault="003A558B" w:rsidP="003975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32B6" w:rsidRDefault="002132B6" w:rsidP="003975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9752A">
        <w:rPr>
          <w:rFonts w:asciiTheme="majorHAnsi" w:hAnsiTheme="majorHAnsi"/>
          <w:sz w:val="24"/>
          <w:szCs w:val="24"/>
        </w:rPr>
        <w:t>Na području Grada Ludbrega nema površina na kojima je izgrađen sustav podzemne odvodnje i onih na kojima se planira izgraditi ili je već izgrađen sustav javnog navodnjavanja, te onih na kojem postoji višegodišnji nasad;</w:t>
      </w:r>
    </w:p>
    <w:p w:rsidR="00203D7F" w:rsidRDefault="00203D7F" w:rsidP="003975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A558B" w:rsidRPr="0039752A" w:rsidRDefault="003A558B" w:rsidP="003975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32B6" w:rsidRPr="004400C9" w:rsidRDefault="002132B6" w:rsidP="004400C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Arial" w:hAnsiTheme="majorHAnsi"/>
          <w:b/>
          <w:sz w:val="24"/>
          <w:szCs w:val="24"/>
        </w:rPr>
      </w:pPr>
      <w:r w:rsidRPr="004400C9">
        <w:rPr>
          <w:rFonts w:asciiTheme="majorHAnsi" w:eastAsia="Arial" w:hAnsiTheme="majorHAnsi"/>
          <w:b/>
          <w:sz w:val="24"/>
          <w:szCs w:val="24"/>
        </w:rPr>
        <w:t>UKUPNA POVRŠINA POLJOPRIVREDNOG ZEMLJIŠTA U VLASNIŠTVU DRŽAVE</w:t>
      </w:r>
    </w:p>
    <w:p w:rsidR="0013718A" w:rsidRDefault="0013718A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13718A" w:rsidRDefault="0013718A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 xml:space="preserve">Ukupna površina raspoloživog poljoprivrednog zemljišta u vlasništvu države na području Grada Ludbrega iznosi </w:t>
      </w:r>
      <w:r w:rsidR="00A35368" w:rsidRPr="0039752A">
        <w:rPr>
          <w:rFonts w:asciiTheme="majorHAnsi" w:eastAsia="Arial" w:hAnsiTheme="majorHAnsi"/>
          <w:b/>
          <w:sz w:val="24"/>
          <w:szCs w:val="24"/>
        </w:rPr>
        <w:t>134 ha 3148 m2.</w:t>
      </w:r>
    </w:p>
    <w:p w:rsidR="00B6260C" w:rsidRDefault="002132B6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Ukupna površina poljoprivrednog zemljišta u vlasništvu države utvrđena je prema službenim podacima kata</w:t>
      </w:r>
      <w:r w:rsidR="00EE2FAC">
        <w:rPr>
          <w:rFonts w:asciiTheme="majorHAnsi" w:eastAsia="Arial" w:hAnsiTheme="majorHAnsi"/>
          <w:sz w:val="24"/>
          <w:szCs w:val="24"/>
        </w:rPr>
        <w:t>stra i zemljišnih knjiga</w:t>
      </w:r>
      <w:r w:rsidR="00BC23E8">
        <w:rPr>
          <w:rFonts w:asciiTheme="majorHAnsi" w:eastAsia="Arial" w:hAnsiTheme="majorHAnsi"/>
          <w:sz w:val="24"/>
          <w:szCs w:val="24"/>
        </w:rPr>
        <w:t>.</w:t>
      </w:r>
    </w:p>
    <w:p w:rsidR="00EE2FAC" w:rsidRDefault="00EE2FAC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Program sadrži ukupnu površinu poljoprivrednog zemljišta u knjižnom i vanknjižnom vlasništvu države na području Grada Ludbrega koje je država stekla na temelju Zakona o poljoprivrednom zemljištu koji je stupio na snagu 23. srpnja 1991. Površine poljoprivrednog zemljišta za koje nije sređeno zemljišno-knjižno stanje, posebno su označene.</w:t>
      </w:r>
    </w:p>
    <w:p w:rsidR="002132B6" w:rsidRDefault="002132B6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B6260C" w:rsidRPr="0039752A" w:rsidRDefault="00B6260C" w:rsidP="0039752A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4400C9" w:rsidRDefault="002132B6" w:rsidP="004400C9">
      <w:pPr>
        <w:pStyle w:val="Odlomakpopisa"/>
        <w:numPr>
          <w:ilvl w:val="0"/>
          <w:numId w:val="13"/>
        </w:numPr>
        <w:spacing w:after="0" w:line="240" w:lineRule="auto"/>
        <w:ind w:right="40"/>
        <w:jc w:val="both"/>
        <w:rPr>
          <w:rFonts w:asciiTheme="majorHAnsi" w:eastAsia="Arial" w:hAnsiTheme="majorHAnsi"/>
          <w:b/>
          <w:sz w:val="24"/>
          <w:szCs w:val="24"/>
        </w:rPr>
      </w:pPr>
      <w:r w:rsidRPr="004400C9">
        <w:rPr>
          <w:rFonts w:asciiTheme="majorHAnsi" w:eastAsia="Arial" w:hAnsiTheme="majorHAnsi"/>
          <w:b/>
          <w:sz w:val="24"/>
          <w:szCs w:val="24"/>
        </w:rPr>
        <w:t>PODACI O DOSADAŠNJEM RASPOLAGANJU POLJOPRIVREDNIM ZEMLJIŠTEM U VLASNIŠTVU DRŽAVE</w:t>
      </w:r>
    </w:p>
    <w:p w:rsidR="00B6260C" w:rsidRDefault="00B6260C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13718A" w:rsidRDefault="0013718A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  <w:r w:rsidRPr="0039752A">
        <w:rPr>
          <w:rFonts w:asciiTheme="majorHAnsi" w:eastAsia="Arial" w:hAnsiTheme="majorHAnsi"/>
          <w:sz w:val="24"/>
          <w:szCs w:val="24"/>
        </w:rPr>
        <w:t>Oblici dosadašnjeg raspolaganja poljoprivrednim zemljištem bili su koncesija i privremeno korištenje.</w:t>
      </w:r>
    </w:p>
    <w:p w:rsidR="00B06CEF" w:rsidRDefault="00B06CEF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091216" w:rsidP="0039752A">
      <w:pPr>
        <w:spacing w:after="0" w:line="240" w:lineRule="auto"/>
        <w:ind w:left="5"/>
        <w:jc w:val="both"/>
        <w:rPr>
          <w:rFonts w:asciiTheme="majorHAnsi" w:eastAsia="Arial" w:hAnsiTheme="majorHAnsi"/>
          <w:sz w:val="24"/>
          <w:szCs w:val="24"/>
        </w:rPr>
      </w:pPr>
      <w:r w:rsidRPr="00091216">
        <w:rPr>
          <w:rFonts w:asciiTheme="majorHAnsi" w:eastAsia="Arial" w:hAnsiTheme="majorHAnsi"/>
          <w:b/>
          <w:sz w:val="24"/>
          <w:szCs w:val="24"/>
        </w:rPr>
        <w:t>K</w:t>
      </w:r>
      <w:r w:rsidR="00B06CEF" w:rsidRPr="00091216">
        <w:rPr>
          <w:rFonts w:asciiTheme="majorHAnsi" w:eastAsia="Arial" w:hAnsiTheme="majorHAnsi"/>
          <w:b/>
          <w:sz w:val="24"/>
          <w:szCs w:val="24"/>
        </w:rPr>
        <w:t>oncesije</w:t>
      </w:r>
      <w:r>
        <w:rPr>
          <w:rFonts w:asciiTheme="majorHAnsi" w:eastAsia="Arial" w:hAnsiTheme="majorHAnsi"/>
          <w:b/>
          <w:sz w:val="24"/>
          <w:szCs w:val="24"/>
        </w:rPr>
        <w:t>:</w:t>
      </w:r>
      <w:r>
        <w:rPr>
          <w:rFonts w:asciiTheme="majorHAnsi" w:eastAsia="Arial" w:hAnsiTheme="majorHAnsi"/>
          <w:sz w:val="24"/>
          <w:szCs w:val="24"/>
        </w:rPr>
        <w:t xml:space="preserve"> </w:t>
      </w:r>
      <w:r w:rsidR="002132B6" w:rsidRPr="0039752A">
        <w:rPr>
          <w:rFonts w:asciiTheme="majorHAnsi" w:eastAsia="Arial" w:hAnsiTheme="majorHAnsi"/>
          <w:sz w:val="24"/>
          <w:szCs w:val="24"/>
        </w:rPr>
        <w:t>na području k.o. Slokovec, površina od 10</w:t>
      </w:r>
      <w:r>
        <w:rPr>
          <w:rFonts w:asciiTheme="majorHAnsi" w:eastAsia="Arial" w:hAnsiTheme="majorHAnsi"/>
          <w:sz w:val="24"/>
          <w:szCs w:val="24"/>
        </w:rPr>
        <w:t xml:space="preserve"> </w:t>
      </w:r>
      <w:r w:rsidR="002132B6" w:rsidRPr="0039752A">
        <w:rPr>
          <w:rFonts w:asciiTheme="majorHAnsi" w:eastAsia="Arial" w:hAnsiTheme="majorHAnsi"/>
          <w:sz w:val="24"/>
          <w:szCs w:val="24"/>
        </w:rPr>
        <w:t>ha</w:t>
      </w:r>
      <w:r>
        <w:rPr>
          <w:rFonts w:asciiTheme="majorHAnsi" w:eastAsia="Arial" w:hAnsiTheme="majorHAnsi"/>
          <w:sz w:val="24"/>
          <w:szCs w:val="24"/>
        </w:rPr>
        <w:t xml:space="preserve"> </w:t>
      </w:r>
      <w:r w:rsidR="002132B6" w:rsidRPr="0039752A">
        <w:rPr>
          <w:rFonts w:asciiTheme="majorHAnsi" w:eastAsia="Arial" w:hAnsiTheme="majorHAnsi"/>
          <w:sz w:val="24"/>
          <w:szCs w:val="24"/>
        </w:rPr>
        <w:t>9558</w:t>
      </w:r>
      <w:r>
        <w:rPr>
          <w:rFonts w:asciiTheme="majorHAnsi" w:eastAsia="Arial" w:hAnsiTheme="majorHAnsi"/>
          <w:sz w:val="24"/>
          <w:szCs w:val="24"/>
        </w:rPr>
        <w:t xml:space="preserve"> </w:t>
      </w:r>
      <w:r w:rsidR="002132B6" w:rsidRPr="0039752A">
        <w:rPr>
          <w:rFonts w:asciiTheme="majorHAnsi" w:eastAsia="Arial" w:hAnsiTheme="majorHAnsi"/>
          <w:sz w:val="24"/>
          <w:szCs w:val="24"/>
        </w:rPr>
        <w:t>m2 je u koncesiji do 12.06.2021.g.</w:t>
      </w:r>
    </w:p>
    <w:p w:rsidR="00091216" w:rsidRDefault="00091216" w:rsidP="0039752A">
      <w:pPr>
        <w:spacing w:after="0" w:line="240" w:lineRule="auto"/>
        <w:jc w:val="both"/>
        <w:rPr>
          <w:rFonts w:asciiTheme="majorHAnsi" w:eastAsia="Arial" w:hAnsiTheme="majorHAnsi"/>
          <w:sz w:val="24"/>
          <w:szCs w:val="24"/>
        </w:rPr>
      </w:pPr>
    </w:p>
    <w:p w:rsidR="002132B6" w:rsidRPr="0039752A" w:rsidRDefault="002132B6" w:rsidP="0039752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91216">
        <w:rPr>
          <w:rFonts w:asciiTheme="majorHAnsi" w:eastAsia="Arial" w:hAnsiTheme="majorHAnsi"/>
          <w:b/>
          <w:sz w:val="24"/>
          <w:szCs w:val="24"/>
        </w:rPr>
        <w:t>Privremeno korištenje</w:t>
      </w:r>
      <w:r w:rsidR="00091216">
        <w:rPr>
          <w:rFonts w:asciiTheme="majorHAnsi" w:eastAsia="Arial" w:hAnsiTheme="majorHAnsi"/>
          <w:b/>
          <w:sz w:val="24"/>
          <w:szCs w:val="24"/>
        </w:rPr>
        <w:t>:</w:t>
      </w:r>
      <w:r w:rsidR="00091216">
        <w:rPr>
          <w:rFonts w:asciiTheme="majorHAnsi" w:eastAsia="Arial" w:hAnsiTheme="majorHAnsi"/>
          <w:sz w:val="24"/>
          <w:szCs w:val="24"/>
        </w:rPr>
        <w:t xml:space="preserve"> </w:t>
      </w:r>
      <w:r w:rsidRPr="0039752A">
        <w:rPr>
          <w:rFonts w:asciiTheme="majorHAnsi" w:eastAsia="Arial" w:hAnsiTheme="majorHAnsi"/>
          <w:sz w:val="24"/>
          <w:szCs w:val="24"/>
        </w:rPr>
        <w:t>na području k.o. Bolfan, Čukovec, Hrastovs</w:t>
      </w:r>
      <w:r w:rsidR="00091216">
        <w:rPr>
          <w:rFonts w:asciiTheme="majorHAnsi" w:eastAsia="Arial" w:hAnsiTheme="majorHAnsi"/>
          <w:sz w:val="24"/>
          <w:szCs w:val="24"/>
        </w:rPr>
        <w:t xml:space="preserve">ko, Ludbreg, Selnik, Sigetec L. i Slokovec, a predmetnim </w:t>
      </w:r>
      <w:r w:rsidRPr="0039752A">
        <w:rPr>
          <w:rFonts w:asciiTheme="majorHAnsi" w:eastAsia="Arial" w:hAnsiTheme="majorHAnsi"/>
          <w:sz w:val="24"/>
          <w:szCs w:val="24"/>
        </w:rPr>
        <w:t>poljopr</w:t>
      </w:r>
      <w:r w:rsidR="00091216">
        <w:rPr>
          <w:rFonts w:asciiTheme="majorHAnsi" w:eastAsia="Arial" w:hAnsiTheme="majorHAnsi"/>
          <w:sz w:val="24"/>
          <w:szCs w:val="24"/>
        </w:rPr>
        <w:t>ivrednim zemljištem se raspolagalo</w:t>
      </w:r>
      <w:r w:rsidRPr="0039752A">
        <w:rPr>
          <w:rFonts w:asciiTheme="majorHAnsi" w:eastAsia="Arial" w:hAnsiTheme="majorHAnsi"/>
          <w:sz w:val="24"/>
          <w:szCs w:val="24"/>
        </w:rPr>
        <w:t xml:space="preserve"> putem privremenog korištenja sa rokom korištenja do 2020.,2021. i 2022. godine.</w:t>
      </w:r>
    </w:p>
    <w:p w:rsidR="002132B6" w:rsidRPr="0039752A" w:rsidRDefault="002132B6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91216" w:rsidRPr="00091216" w:rsidRDefault="00091216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2132B6" w:rsidRDefault="002132B6" w:rsidP="00091216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9752A">
        <w:rPr>
          <w:rFonts w:asciiTheme="majorHAnsi" w:hAnsiTheme="majorHAnsi" w:cs="Times New Roman"/>
          <w:b/>
          <w:sz w:val="24"/>
          <w:szCs w:val="24"/>
        </w:rPr>
        <w:t>T-1 Prikaz dosadašnjeg raspolaganja po svim oblicima - površina u ha</w:t>
      </w:r>
    </w:p>
    <w:p w:rsidR="00091216" w:rsidRPr="0039752A" w:rsidRDefault="00091216" w:rsidP="00091216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851"/>
        <w:gridCol w:w="3542"/>
        <w:gridCol w:w="1702"/>
        <w:gridCol w:w="2835"/>
      </w:tblGrid>
      <w:tr w:rsidR="002132B6" w:rsidRPr="0039752A" w:rsidTr="000912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397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R.br.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OBLIK RASPOLAGANJA</w:t>
            </w:r>
          </w:p>
          <w:p w:rsidR="002132B6" w:rsidRPr="0039752A" w:rsidRDefault="002132B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( skraćeni naziv iz ugovora)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Ukupan broj ugovora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397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Ukupna površina po ugovorima</w:t>
            </w:r>
          </w:p>
        </w:tc>
      </w:tr>
      <w:tr w:rsidR="002132B6" w:rsidRPr="0039752A" w:rsidTr="000912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zakup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09121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2B6" w:rsidRPr="0039752A" w:rsidTr="000912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dugogodišnji zakup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09121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2B6" w:rsidRPr="0039752A" w:rsidTr="000912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koncesija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D2183F" w:rsidP="00AD631A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F614E9">
              <w:rPr>
                <w:rFonts w:asciiTheme="majorHAnsi" w:hAnsiTheme="majorHAnsi"/>
                <w:sz w:val="24"/>
                <w:szCs w:val="24"/>
              </w:rPr>
              <w:t xml:space="preserve"> ha</w:t>
            </w: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132B6" w:rsidRPr="0039752A">
              <w:rPr>
                <w:rFonts w:asciiTheme="majorHAnsi" w:hAnsiTheme="majorHAnsi"/>
                <w:b/>
                <w:sz w:val="24"/>
                <w:szCs w:val="24"/>
              </w:rPr>
              <w:t>9558</w:t>
            </w: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614E9">
              <w:rPr>
                <w:rFonts w:asciiTheme="majorHAnsi" w:hAnsiTheme="majorHAnsi"/>
                <w:sz w:val="24"/>
                <w:szCs w:val="24"/>
              </w:rPr>
              <w:t>m2</w:t>
            </w:r>
          </w:p>
        </w:tc>
      </w:tr>
      <w:tr w:rsidR="002132B6" w:rsidRPr="0039752A" w:rsidTr="000912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2132B6" w:rsidP="00091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D2183F" w:rsidP="00AD631A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 xml:space="preserve">104 </w:t>
            </w:r>
            <w:r w:rsidRPr="00F614E9">
              <w:rPr>
                <w:rFonts w:asciiTheme="majorHAnsi" w:hAnsiTheme="majorHAnsi"/>
                <w:sz w:val="24"/>
                <w:szCs w:val="24"/>
              </w:rPr>
              <w:t>ha</w:t>
            </w: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132B6" w:rsidRPr="0039752A">
              <w:rPr>
                <w:rFonts w:asciiTheme="majorHAnsi" w:hAnsiTheme="majorHAnsi"/>
                <w:b/>
                <w:sz w:val="24"/>
                <w:szCs w:val="24"/>
              </w:rPr>
              <w:t>5309</w:t>
            </w:r>
            <w:r w:rsidRPr="003975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614E9">
              <w:rPr>
                <w:rFonts w:asciiTheme="majorHAnsi" w:hAnsiTheme="majorHAnsi"/>
                <w:sz w:val="24"/>
                <w:szCs w:val="24"/>
              </w:rPr>
              <w:t>m2</w:t>
            </w:r>
          </w:p>
        </w:tc>
      </w:tr>
    </w:tbl>
    <w:p w:rsidR="002132B6" w:rsidRPr="0039752A" w:rsidRDefault="002132B6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2132B6" w:rsidRPr="0039752A" w:rsidRDefault="002132B6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2132B6" w:rsidRDefault="002132B6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757E3C" w:rsidRPr="0039752A" w:rsidRDefault="00757E3C" w:rsidP="00091216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2132B6" w:rsidRDefault="002132B6" w:rsidP="000912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091216" w:rsidRDefault="00091216" w:rsidP="000912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13718A" w:rsidRDefault="0013718A" w:rsidP="000912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7C1FF1" w:rsidRPr="0013718A" w:rsidRDefault="007C1FF1" w:rsidP="0013718A">
      <w:pPr>
        <w:pStyle w:val="Odlomakpopisa"/>
        <w:numPr>
          <w:ilvl w:val="0"/>
          <w:numId w:val="13"/>
        </w:numPr>
        <w:spacing w:after="0" w:line="240" w:lineRule="auto"/>
        <w:ind w:right="40"/>
        <w:jc w:val="both"/>
        <w:rPr>
          <w:rFonts w:asciiTheme="majorHAnsi" w:eastAsia="Arial" w:hAnsiTheme="majorHAnsi"/>
          <w:b/>
          <w:sz w:val="24"/>
          <w:szCs w:val="24"/>
        </w:rPr>
      </w:pPr>
      <w:r w:rsidRPr="0013718A">
        <w:rPr>
          <w:rFonts w:asciiTheme="majorHAnsi" w:eastAsia="Arial" w:hAnsiTheme="majorHAnsi"/>
          <w:b/>
          <w:sz w:val="24"/>
          <w:szCs w:val="24"/>
        </w:rPr>
        <w:t>PODACI O RASPOLAGANJU POLJOPRIVREDNIM ZEMLJIŠTEM U VLASNIŠTVU DRŽAVE PREDVIĐENI OVIM PROGRAMOM</w:t>
      </w:r>
    </w:p>
    <w:p w:rsidR="00091216" w:rsidRDefault="00091216" w:rsidP="000912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hr-BA"/>
        </w:rPr>
      </w:pPr>
    </w:p>
    <w:p w:rsidR="002132B6" w:rsidRPr="0039752A" w:rsidRDefault="002132B6" w:rsidP="007C1FF1">
      <w:pPr>
        <w:pStyle w:val="Odlomakpopisa"/>
        <w:spacing w:after="0" w:line="240" w:lineRule="auto"/>
        <w:ind w:left="0"/>
        <w:jc w:val="both"/>
        <w:rPr>
          <w:rFonts w:asciiTheme="majorHAnsi" w:hAnsiTheme="majorHAnsi" w:cs="Times New Roman"/>
          <w:b/>
          <w:color w:val="FF0000"/>
          <w:sz w:val="24"/>
          <w:szCs w:val="24"/>
          <w:lang w:val="hr-BA"/>
        </w:rPr>
      </w:pPr>
    </w:p>
    <w:p w:rsidR="007C1FF1" w:rsidRPr="007C1FF1" w:rsidRDefault="002132B6" w:rsidP="007C1FF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hr-BA"/>
        </w:rPr>
      </w:pPr>
      <w:r w:rsidRPr="007C1FF1">
        <w:rPr>
          <w:rFonts w:asciiTheme="majorHAnsi" w:hAnsiTheme="majorHAnsi" w:cs="Times New Roman"/>
          <w:b/>
          <w:sz w:val="24"/>
          <w:szCs w:val="24"/>
          <w:lang w:val="hr-BA"/>
        </w:rPr>
        <w:t xml:space="preserve">T-2 </w:t>
      </w:r>
      <w:r w:rsidR="007C1FF1" w:rsidRPr="007C1FF1">
        <w:rPr>
          <w:rFonts w:asciiTheme="majorHAnsi" w:hAnsiTheme="majorHAnsi" w:cs="Times New Roman"/>
          <w:b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2132B6" w:rsidRDefault="002132B6" w:rsidP="00B8403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  <w:lang w:val="hr-BA"/>
        </w:rPr>
      </w:pPr>
    </w:p>
    <w:p w:rsidR="00F614E9" w:rsidRPr="0039752A" w:rsidRDefault="00F614E9" w:rsidP="00B8403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  <w:lang w:val="hr-BA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3969"/>
        <w:gridCol w:w="1985"/>
        <w:gridCol w:w="3118"/>
      </w:tblGrid>
      <w:tr w:rsidR="00531901" w:rsidRPr="0039752A" w:rsidTr="005319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39752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 w:rsidRPr="0039752A"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39752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 w:rsidRPr="0039752A"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2132B6" w:rsidRPr="0039752A" w:rsidRDefault="002132B6" w:rsidP="0039752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 w:rsidRPr="0039752A"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B6" w:rsidRPr="0039752A" w:rsidRDefault="002132B6" w:rsidP="0039752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 w:rsidRPr="0039752A"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2132B6" w:rsidRPr="0039752A" w:rsidRDefault="002132B6" w:rsidP="0039752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 w:rsidRPr="0039752A"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31901" w:rsidRPr="0039752A" w:rsidTr="00531901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7C1FF1" w:rsidP="00F614E9">
            <w:pPr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B84033" w:rsidP="00AD631A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16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ha</w:t>
            </w: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</w:t>
            </w:r>
            <w:r w:rsidR="002132B6" w:rsidRPr="0039752A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0272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m2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531901" w:rsidRPr="0039752A" w:rsidTr="005319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F614E9" w:rsidRDefault="007C1FF1" w:rsidP="00F614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prodaju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614E9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>jednokratno, maksimalno</w:t>
            </w:r>
            <w:r w:rsidR="00F614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>do 25%</w:t>
            </w:r>
            <w:r w:rsidR="00F614E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B84033" w:rsidP="00AD631A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32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ha</w:t>
            </w: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</w:t>
            </w:r>
            <w:r w:rsidR="00A35368" w:rsidRPr="0039752A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5327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m2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531901" w:rsidRPr="0039752A" w:rsidTr="00531901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7C1FF1" w:rsidP="00F614E9">
            <w:pPr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B84033" w:rsidP="00AD631A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85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ha</w:t>
            </w: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</w:t>
            </w:r>
            <w:r w:rsidR="00A35368" w:rsidRPr="0039752A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7549</w:t>
            </w:r>
            <w:r w:rsidRPr="00F614E9">
              <w:rPr>
                <w:rFonts w:asciiTheme="majorHAnsi" w:hAnsiTheme="majorHAnsi"/>
                <w:sz w:val="24"/>
                <w:szCs w:val="24"/>
                <w:lang w:val="hr-BA"/>
              </w:rPr>
              <w:t>m2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531901" w:rsidRPr="0039752A" w:rsidTr="00531901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7C1FF1" w:rsidP="00F614E9">
            <w:pPr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B84033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531901" w:rsidRPr="0039752A" w:rsidTr="00531901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39752A" w:rsidRDefault="007C1FF1" w:rsidP="00F614E9">
            <w:pPr>
              <w:rPr>
                <w:rFonts w:asciiTheme="majorHAnsi" w:hAnsiTheme="majorHAnsi" w:cs="Times New Roman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B84033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  <w:tr w:rsidR="00531901" w:rsidRPr="0039752A" w:rsidTr="00531901">
        <w:trPr>
          <w:trHeight w:val="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B6" w:rsidRPr="00F614E9" w:rsidRDefault="007C1FF1" w:rsidP="00F614E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ovršine određene za </w:t>
            </w:r>
            <w:r w:rsidR="002132B6" w:rsidRPr="0039752A">
              <w:rPr>
                <w:rFonts w:asciiTheme="majorHAnsi" w:hAnsiTheme="majorHAnsi" w:cs="Times New Roman"/>
                <w:b/>
                <w:sz w:val="24"/>
                <w:szCs w:val="24"/>
              </w:rPr>
              <w:t>ostale namjene</w:t>
            </w:r>
            <w:r w:rsidR="00F614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4E9" w:rsidRPr="00F614E9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2132B6" w:rsidRPr="00F614E9">
              <w:rPr>
                <w:rFonts w:asciiTheme="majorHAnsi" w:hAnsiTheme="majorHAnsi" w:cs="Times New Roman"/>
                <w:sz w:val="24"/>
                <w:szCs w:val="24"/>
              </w:rPr>
              <w:t>jednokratno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 xml:space="preserve">, maksimalno </w:t>
            </w:r>
            <w:r w:rsidR="00F614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2132B6" w:rsidRPr="0039752A">
              <w:rPr>
                <w:rFonts w:asciiTheme="majorHAnsi" w:hAnsiTheme="majorHAnsi" w:cs="Times New Roman"/>
                <w:sz w:val="24"/>
                <w:szCs w:val="24"/>
              </w:rPr>
              <w:t>do 5%</w:t>
            </w:r>
            <w:r w:rsidR="00F614E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B84033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6" w:rsidRPr="0039752A" w:rsidRDefault="002132B6" w:rsidP="0039752A">
            <w:pPr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</w:p>
        </w:tc>
      </w:tr>
    </w:tbl>
    <w:p w:rsidR="002132B6" w:rsidRDefault="002132B6" w:rsidP="00286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64C4" w:rsidRPr="0039752A" w:rsidRDefault="002864C4" w:rsidP="00286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32B6" w:rsidRPr="002864C4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864C4">
        <w:rPr>
          <w:rFonts w:asciiTheme="majorHAnsi" w:eastAsia="Arial" w:hAnsiTheme="majorHAnsi" w:cs="Times New Roman"/>
          <w:b/>
          <w:sz w:val="24"/>
          <w:szCs w:val="24"/>
        </w:rPr>
        <w:t>POVRŠINE ODREĐENE ZA POVRAT</w:t>
      </w:r>
    </w:p>
    <w:p w:rsidR="002864C4" w:rsidRDefault="002864C4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Prema podacima Ureda državne uprave u Varaždinskoj županiji,Služba za gospodarstvo i imovinsko-pravne poslove,a na temelju Zakona o naknadi za imovinu oduzetu za vrijeme jugoslavenske komunističke vladavine (Narodne novine br. 92/96, 39/99, 43/00, 131/00, 27/01, 65/01 i 118/01, 80/02 i 81/02) na području Grada Ludbrega u postupku su zahtjevi za povrat zemljišta u ukupnoj površini od </w:t>
      </w:r>
      <w:r w:rsidR="00AD631A">
        <w:rPr>
          <w:rFonts w:asciiTheme="majorHAnsi" w:eastAsia="Arial" w:hAnsiTheme="majorHAnsi" w:cs="Times New Roman"/>
          <w:b/>
          <w:sz w:val="24"/>
          <w:szCs w:val="24"/>
        </w:rPr>
        <w:t xml:space="preserve">15 ha </w:t>
      </w:r>
      <w:r w:rsidRPr="0039752A">
        <w:rPr>
          <w:rFonts w:asciiTheme="majorHAnsi" w:eastAsia="Arial" w:hAnsiTheme="majorHAnsi" w:cs="Times New Roman"/>
          <w:b/>
          <w:sz w:val="24"/>
          <w:szCs w:val="24"/>
        </w:rPr>
        <w:t>6034</w:t>
      </w:r>
      <w:r w:rsidR="00AD631A">
        <w:rPr>
          <w:rFonts w:asciiTheme="majorHAnsi" w:eastAsia="Arial" w:hAnsiTheme="majorHAnsi" w:cs="Times New Roman"/>
          <w:b/>
          <w:sz w:val="24"/>
          <w:szCs w:val="24"/>
        </w:rPr>
        <w:t xml:space="preserve"> m2</w:t>
      </w:r>
      <w:r w:rsidRPr="0039752A">
        <w:rPr>
          <w:rFonts w:asciiTheme="majorHAnsi" w:eastAsia="Arial" w:hAnsiTheme="majorHAnsi" w:cs="Times New Roman"/>
          <w:sz w:val="24"/>
          <w:szCs w:val="24"/>
        </w:rPr>
        <w:t xml:space="preserve"> i to na području 4 katastarske općine.</w:t>
      </w: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4C4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Površine za koje su podneseni zahtjevi za povrat i koje su u ovom Programu određene za povrat do okončanja postupka povrata, donošenja pravomoćnih rješenja, raspolagat će se putem zakupa sukladno članku 31. stavku 2. Zakona, a u slučaju negativnog rješavanja zahtjeva poljoprivrednim zemljištem raspolagat će se putem zakupa.</w:t>
      </w:r>
    </w:p>
    <w:p w:rsidR="00D842CA" w:rsidRDefault="00D842CA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Pr="002864C4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864C4">
        <w:rPr>
          <w:rFonts w:asciiTheme="majorHAnsi" w:eastAsia="Arial" w:hAnsiTheme="majorHAnsi" w:cs="Times New Roman"/>
          <w:b/>
          <w:sz w:val="24"/>
          <w:szCs w:val="24"/>
        </w:rPr>
        <w:t>POVRŠINE ODREĐENE ZA PRODAJU</w:t>
      </w:r>
    </w:p>
    <w:p w:rsidR="002864C4" w:rsidRPr="0039752A" w:rsidRDefault="002864C4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Default="002132B6" w:rsidP="002864C4">
      <w:pPr>
        <w:spacing w:after="0" w:line="240" w:lineRule="auto"/>
        <w:ind w:right="6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Grad Ludbreg određuje za prodaju </w:t>
      </w:r>
      <w:r w:rsidR="00D842CA">
        <w:rPr>
          <w:rFonts w:asciiTheme="majorHAnsi" w:hAnsiTheme="majorHAnsi"/>
          <w:b/>
          <w:sz w:val="24"/>
          <w:szCs w:val="24"/>
          <w:lang w:val="hr-BA"/>
        </w:rPr>
        <w:t xml:space="preserve">32 ha </w:t>
      </w:r>
      <w:r w:rsidR="00A35368" w:rsidRPr="0039752A">
        <w:rPr>
          <w:rFonts w:asciiTheme="majorHAnsi" w:hAnsiTheme="majorHAnsi"/>
          <w:b/>
          <w:sz w:val="24"/>
          <w:szCs w:val="24"/>
          <w:lang w:val="hr-BA"/>
        </w:rPr>
        <w:t xml:space="preserve">5327 </w:t>
      </w:r>
      <w:r w:rsidR="00D842CA">
        <w:rPr>
          <w:rFonts w:asciiTheme="majorHAnsi" w:hAnsiTheme="majorHAnsi"/>
          <w:b/>
          <w:sz w:val="24"/>
          <w:szCs w:val="24"/>
          <w:lang w:val="hr-BA"/>
        </w:rPr>
        <w:t>m2</w:t>
      </w:r>
      <w:r w:rsidR="00A35368" w:rsidRPr="0039752A">
        <w:rPr>
          <w:rFonts w:asciiTheme="majorHAnsi" w:eastAsia="Arial" w:hAnsiTheme="majorHAnsi" w:cs="Times New Roman"/>
          <w:sz w:val="24"/>
          <w:szCs w:val="24"/>
        </w:rPr>
        <w:t xml:space="preserve"> ili 24,22</w:t>
      </w:r>
      <w:r w:rsidRPr="0039752A">
        <w:rPr>
          <w:rFonts w:asciiTheme="majorHAnsi" w:eastAsia="Arial" w:hAnsiTheme="majorHAnsi" w:cs="Times New Roman"/>
          <w:sz w:val="24"/>
          <w:szCs w:val="24"/>
        </w:rPr>
        <w:t>% poljoprivrednog zemljišta. Prema podacima katastra većim dijelom radi se o manjim katastarskim česticama, u vlasništvu Republike Hrvatske na području katastarskih općina Grada Ludbrega koje su predmet ovog Programa.</w:t>
      </w:r>
    </w:p>
    <w:p w:rsidR="002864C4" w:rsidRDefault="002864C4" w:rsidP="002864C4">
      <w:pPr>
        <w:spacing w:after="0" w:line="240" w:lineRule="auto"/>
        <w:ind w:right="6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D842CA" w:rsidRDefault="00D842CA" w:rsidP="002864C4">
      <w:pPr>
        <w:spacing w:after="0" w:line="240" w:lineRule="auto"/>
        <w:ind w:right="6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D842CA" w:rsidRDefault="00D842CA" w:rsidP="002864C4">
      <w:pPr>
        <w:spacing w:after="0" w:line="240" w:lineRule="auto"/>
        <w:ind w:right="6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864C4" w:rsidRPr="0039752A" w:rsidRDefault="002864C4" w:rsidP="002864C4">
      <w:pPr>
        <w:spacing w:after="0" w:line="240" w:lineRule="auto"/>
        <w:ind w:right="6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864C4" w:rsidRPr="002864C4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864C4">
        <w:rPr>
          <w:rFonts w:asciiTheme="majorHAnsi" w:eastAsia="Arial" w:hAnsiTheme="majorHAnsi" w:cs="Times New Roman"/>
          <w:b/>
          <w:sz w:val="24"/>
          <w:szCs w:val="24"/>
        </w:rPr>
        <w:lastRenderedPageBreak/>
        <w:t>POVRŠINE ODREĐENE ZA ZAKUP</w:t>
      </w:r>
    </w:p>
    <w:p w:rsidR="002864C4" w:rsidRDefault="002864C4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Ukupna površina poljoprivrednog zemljišta predviđena za zakup je </w:t>
      </w:r>
      <w:r w:rsidR="00A35368" w:rsidRPr="0039752A">
        <w:rPr>
          <w:rFonts w:asciiTheme="majorHAnsi" w:hAnsiTheme="majorHAnsi"/>
          <w:b/>
          <w:sz w:val="24"/>
          <w:szCs w:val="24"/>
          <w:lang w:val="hr-BA"/>
        </w:rPr>
        <w:t>85</w:t>
      </w:r>
      <w:r w:rsidR="00D842CA">
        <w:rPr>
          <w:rFonts w:asciiTheme="majorHAnsi" w:hAnsiTheme="majorHAnsi"/>
          <w:b/>
          <w:sz w:val="24"/>
          <w:szCs w:val="24"/>
          <w:lang w:val="hr-BA"/>
        </w:rPr>
        <w:t xml:space="preserve"> ha </w:t>
      </w:r>
      <w:r w:rsidR="00A35368" w:rsidRPr="0039752A">
        <w:rPr>
          <w:rFonts w:asciiTheme="majorHAnsi" w:hAnsiTheme="majorHAnsi"/>
          <w:b/>
          <w:sz w:val="24"/>
          <w:szCs w:val="24"/>
          <w:lang w:val="hr-BA"/>
        </w:rPr>
        <w:t xml:space="preserve">7549 </w:t>
      </w:r>
      <w:r w:rsidR="00D842CA">
        <w:rPr>
          <w:rFonts w:asciiTheme="majorHAnsi" w:hAnsiTheme="majorHAnsi"/>
          <w:b/>
          <w:sz w:val="24"/>
          <w:szCs w:val="24"/>
          <w:lang w:val="hr-BA"/>
        </w:rPr>
        <w:t>m2</w:t>
      </w:r>
      <w:r w:rsidR="00D842CA">
        <w:rPr>
          <w:rFonts w:asciiTheme="majorHAnsi" w:hAnsiTheme="majorHAnsi"/>
          <w:sz w:val="24"/>
          <w:szCs w:val="24"/>
          <w:lang w:val="hr-BA"/>
        </w:rPr>
        <w:t xml:space="preserve"> ili</w:t>
      </w:r>
      <w:r w:rsidR="00D842CA">
        <w:rPr>
          <w:rFonts w:asciiTheme="majorHAnsi" w:eastAsia="Arial" w:hAnsiTheme="majorHAnsi" w:cs="Times New Roman"/>
          <w:sz w:val="24"/>
          <w:szCs w:val="24"/>
        </w:rPr>
        <w:t xml:space="preserve"> </w:t>
      </w:r>
      <w:r w:rsidR="00A35368" w:rsidRPr="0039752A">
        <w:rPr>
          <w:rFonts w:asciiTheme="majorHAnsi" w:eastAsia="Arial" w:hAnsiTheme="majorHAnsi" w:cs="Times New Roman"/>
          <w:sz w:val="24"/>
          <w:szCs w:val="24"/>
        </w:rPr>
        <w:t>63.8</w:t>
      </w:r>
      <w:r w:rsidR="00D842CA">
        <w:rPr>
          <w:rFonts w:asciiTheme="majorHAnsi" w:eastAsia="Arial" w:hAnsiTheme="majorHAnsi" w:cs="Times New Roman"/>
          <w:sz w:val="24"/>
          <w:szCs w:val="24"/>
        </w:rPr>
        <w:t>4%.</w:t>
      </w:r>
    </w:p>
    <w:p w:rsidR="002132B6" w:rsidRDefault="002132B6" w:rsidP="002864C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2864C4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864C4">
        <w:rPr>
          <w:rFonts w:asciiTheme="majorHAnsi" w:eastAsia="Arial" w:hAnsiTheme="majorHAnsi" w:cs="Times New Roman"/>
          <w:b/>
          <w:sz w:val="24"/>
          <w:szCs w:val="24"/>
        </w:rPr>
        <w:t>MAKSIMALNA POVRŠINA ZA ZAKUP</w:t>
      </w: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864C4" w:rsidRDefault="002132B6" w:rsidP="002864C4">
      <w:pPr>
        <w:spacing w:after="0" w:line="240" w:lineRule="auto"/>
        <w:ind w:right="4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Maksimalna površina poljoprivrednog zemljišta u vlasništvu države koja se može dati u zakup pojedinoj fizičkoj ili pravnoj o</w:t>
      </w:r>
      <w:r w:rsidR="00A35368" w:rsidRPr="0039752A">
        <w:rPr>
          <w:rFonts w:asciiTheme="majorHAnsi" w:eastAsia="Arial" w:hAnsiTheme="majorHAnsi" w:cs="Times New Roman"/>
          <w:sz w:val="24"/>
          <w:szCs w:val="24"/>
        </w:rPr>
        <w:t xml:space="preserve">sobi utvrđuje se u površini od </w:t>
      </w:r>
      <w:r w:rsidR="00A35368" w:rsidRPr="00D842CA">
        <w:rPr>
          <w:rFonts w:asciiTheme="majorHAnsi" w:eastAsia="Arial" w:hAnsiTheme="majorHAnsi" w:cs="Times New Roman"/>
          <w:b/>
          <w:sz w:val="24"/>
          <w:szCs w:val="24"/>
        </w:rPr>
        <w:t>2</w:t>
      </w:r>
      <w:r w:rsidRPr="00D842CA">
        <w:rPr>
          <w:rFonts w:asciiTheme="majorHAnsi" w:eastAsia="Arial" w:hAnsiTheme="majorHAnsi" w:cs="Times New Roman"/>
          <w:b/>
          <w:sz w:val="24"/>
          <w:szCs w:val="24"/>
        </w:rPr>
        <w:t>0 hektara</w:t>
      </w:r>
      <w:r w:rsidRPr="0039752A">
        <w:rPr>
          <w:rFonts w:asciiTheme="majorHAnsi" w:eastAsia="Arial" w:hAnsiTheme="majorHAnsi" w:cs="Times New Roman"/>
          <w:sz w:val="24"/>
          <w:szCs w:val="24"/>
        </w:rPr>
        <w:t>.</w:t>
      </w:r>
    </w:p>
    <w:p w:rsidR="002864C4" w:rsidRDefault="002864C4" w:rsidP="002864C4">
      <w:pPr>
        <w:spacing w:after="0" w:line="240" w:lineRule="auto"/>
        <w:ind w:right="4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Default="002132B6" w:rsidP="002864C4">
      <w:pPr>
        <w:spacing w:after="0" w:line="240" w:lineRule="auto"/>
        <w:ind w:right="4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U maksimalnu površinu uračunavaju se sve površine državnog poljoprivrednog zemljišta koje je pojedina fizička ili pravna osoba dobila u zakup po natječajima provedenim od stupanja na snagu Zakona.</w:t>
      </w:r>
    </w:p>
    <w:p w:rsidR="002864C4" w:rsidRDefault="002864C4" w:rsidP="002864C4">
      <w:pPr>
        <w:spacing w:after="0" w:line="240" w:lineRule="auto"/>
        <w:ind w:right="4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864C4" w:rsidRDefault="002864C4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2132B6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2864C4">
        <w:rPr>
          <w:rFonts w:asciiTheme="majorHAnsi" w:eastAsia="Arial" w:hAnsiTheme="majorHAnsi" w:cs="Times New Roman"/>
          <w:b/>
          <w:sz w:val="24"/>
          <w:szCs w:val="24"/>
        </w:rPr>
        <w:t>SREDSTVA ZA PROVEDBU PROGRAMA</w:t>
      </w:r>
    </w:p>
    <w:p w:rsidR="002864C4" w:rsidRPr="002864C4" w:rsidRDefault="002864C4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Sredstva za provedbu Programa planiraju se u proračunu Grada Ludbrega. </w:t>
      </w: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Sredstva se osiguravaju iz sredstava ostvarenih od zakupa, prodaje, prodaje izravnom pogodbom, privremenog korištenja i davanja na korištenje izravnom pogodbom sukladno Programu korištenja sredstava koji </w:t>
      </w:r>
      <w:r w:rsidR="00D842CA">
        <w:rPr>
          <w:rFonts w:asciiTheme="majorHAnsi" w:eastAsia="Arial" w:hAnsiTheme="majorHAnsi" w:cs="Times New Roman"/>
          <w:sz w:val="24"/>
          <w:szCs w:val="24"/>
        </w:rPr>
        <w:t>donosi Gradsko vijeće Grada Ludbrega</w:t>
      </w:r>
      <w:r w:rsidRPr="0039752A">
        <w:rPr>
          <w:rFonts w:asciiTheme="majorHAnsi" w:eastAsia="Arial" w:hAnsiTheme="majorHAnsi" w:cs="Times New Roman"/>
          <w:sz w:val="24"/>
          <w:szCs w:val="24"/>
        </w:rPr>
        <w:t>.</w:t>
      </w:r>
    </w:p>
    <w:p w:rsidR="002132B6" w:rsidRDefault="002132B6" w:rsidP="002864C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864C4" w:rsidRPr="0039752A" w:rsidRDefault="002864C4" w:rsidP="002864C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2132B6" w:rsidRPr="0013718A" w:rsidRDefault="002132B6" w:rsidP="0013718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13718A">
        <w:rPr>
          <w:rFonts w:asciiTheme="majorHAnsi" w:eastAsia="Arial" w:hAnsiTheme="majorHAnsi" w:cs="Times New Roman"/>
          <w:b/>
          <w:sz w:val="24"/>
          <w:szCs w:val="24"/>
        </w:rPr>
        <w:t>ZAVRŠNE ODREDBE</w:t>
      </w:r>
    </w:p>
    <w:p w:rsidR="002132B6" w:rsidRDefault="002132B6" w:rsidP="002864C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3718A" w:rsidRPr="0039752A" w:rsidRDefault="0013718A" w:rsidP="002864C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132B6" w:rsidRPr="0039752A" w:rsidRDefault="002132B6" w:rsidP="002864C4">
      <w:p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39752A">
        <w:rPr>
          <w:rFonts w:asciiTheme="majorHAnsi" w:eastAsia="Arial" w:hAnsiTheme="majorHAnsi" w:cs="Times New Roman"/>
          <w:b/>
          <w:sz w:val="24"/>
          <w:szCs w:val="24"/>
        </w:rPr>
        <w:t>Program se donosi na temelju:</w:t>
      </w:r>
    </w:p>
    <w:p w:rsidR="002132B6" w:rsidRPr="0039752A" w:rsidRDefault="002132B6" w:rsidP="002864C4">
      <w:pPr>
        <w:pStyle w:val="Odlomakpopisa"/>
        <w:numPr>
          <w:ilvl w:val="0"/>
          <w:numId w:val="6"/>
        </w:numPr>
        <w:tabs>
          <w:tab w:val="left" w:pos="420"/>
        </w:tabs>
        <w:spacing w:after="0" w:line="240" w:lineRule="auto"/>
        <w:ind w:right="12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zemljišnoknjižnih izvadaka i posjedovnih listova iz e-baze Preglednika katastarskih podataka DGU i ZIS aplikacije zemljišno knjižnog sustava Ministarstva pravosuđa (osim iznimno u slučajevima kada ne postoji e-zemljišno knjižni izvadak)</w:t>
      </w:r>
    </w:p>
    <w:p w:rsidR="002132B6" w:rsidRPr="0039752A" w:rsidRDefault="002132B6" w:rsidP="002864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katastarskih planova katastarskih općina u digitalnom obliku,</w:t>
      </w:r>
    </w:p>
    <w:p w:rsidR="002132B6" w:rsidRPr="0039752A" w:rsidRDefault="002132B6" w:rsidP="002864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 xml:space="preserve">uvjerenja Upravnog odjela za prostorno uređenje, </w:t>
      </w:r>
      <w:r w:rsidR="00CD727F" w:rsidRPr="0039752A">
        <w:rPr>
          <w:rFonts w:asciiTheme="majorHAnsi" w:eastAsia="Arial" w:hAnsiTheme="majorHAnsi" w:cs="Times New Roman"/>
          <w:sz w:val="24"/>
          <w:szCs w:val="24"/>
        </w:rPr>
        <w:t xml:space="preserve">graditeljstvo i zaštitu okoliša </w:t>
      </w:r>
      <w:r w:rsidRPr="0039752A">
        <w:rPr>
          <w:rFonts w:asciiTheme="majorHAnsi" w:eastAsia="Arial" w:hAnsiTheme="majorHAnsi" w:cs="Times New Roman"/>
          <w:sz w:val="24"/>
          <w:szCs w:val="24"/>
        </w:rPr>
        <w:t>Varaždinske županije, da se prema važećem prostornom planu uređenja, predmetne čestice nalaze izvan granica građevinskog područja s oznakom ukoliko se radi o osobito vrijednom (P1) i vrijednom (P2) poljoprivrednom zemljištu,</w:t>
      </w:r>
    </w:p>
    <w:p w:rsidR="002132B6" w:rsidRPr="0039752A" w:rsidRDefault="002132B6" w:rsidP="002864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očitovanja Ureda državne uprave u Varaždinskoj županiji,Služba za gospodarstvo i imovinsko-pravne poslove  o površini koju je potrebno osigurati kao nadoknadu za oduzetu imovinu (s obzirom na podnesene, a neriješene zahtjeve),</w:t>
      </w:r>
    </w:p>
    <w:p w:rsidR="002132B6" w:rsidRPr="0039752A" w:rsidRDefault="002132B6" w:rsidP="002864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uvjerenja Hrvatskih šuma d.o.o., nadležne Uprave šuma da predmetne čestice nisu obuhvaćene šumskogospodarskom osnovom,</w:t>
      </w:r>
    </w:p>
    <w:p w:rsidR="00400A8D" w:rsidRDefault="002132B6" w:rsidP="002864C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39752A">
        <w:rPr>
          <w:rFonts w:asciiTheme="majorHAnsi" w:eastAsia="Arial" w:hAnsiTheme="majorHAnsi" w:cs="Times New Roman"/>
          <w:sz w:val="24"/>
          <w:szCs w:val="24"/>
        </w:rPr>
        <w:t>očitovanja Hrvatskih voda jesu li i koje predmetne čestice javno vodno dobro</w:t>
      </w:r>
      <w:r w:rsidR="00CD727F" w:rsidRPr="0039752A">
        <w:rPr>
          <w:rFonts w:asciiTheme="majorHAnsi" w:eastAsia="Arial" w:hAnsiTheme="majorHAnsi" w:cs="Times New Roman"/>
          <w:sz w:val="24"/>
          <w:szCs w:val="24"/>
        </w:rPr>
        <w:t>.</w:t>
      </w:r>
    </w:p>
    <w:p w:rsidR="00BC23E8" w:rsidRDefault="00BC23E8" w:rsidP="00BC23E8">
      <w:pPr>
        <w:pStyle w:val="Odlomakpopisa"/>
        <w:spacing w:after="0" w:line="240" w:lineRule="auto"/>
        <w:ind w:left="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BC23E8" w:rsidRDefault="00BC23E8" w:rsidP="00BC23E8">
      <w:pPr>
        <w:pStyle w:val="Odlomakpopisa"/>
        <w:spacing w:after="0" w:line="240" w:lineRule="auto"/>
        <w:ind w:left="0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BC23E8" w:rsidRDefault="00BC23E8" w:rsidP="00BC23E8">
      <w:pPr>
        <w:pStyle w:val="Odlomakpopisa"/>
        <w:spacing w:after="0" w:line="24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C23E8">
        <w:rPr>
          <w:rFonts w:asciiTheme="majorHAnsi" w:eastAsia="Arial" w:hAnsiTheme="majorHAnsi" w:cs="Times New Roman"/>
          <w:b/>
          <w:sz w:val="24"/>
          <w:szCs w:val="24"/>
        </w:rPr>
        <w:t>Sastavni dio ovog Programa čine i sljedeći prilozi:</w:t>
      </w:r>
    </w:p>
    <w:p w:rsidR="00BC23E8" w:rsidRPr="00BC23E8" w:rsidRDefault="00BC23E8" w:rsidP="00BC23E8">
      <w:pPr>
        <w:pStyle w:val="Odlomakpopisa"/>
        <w:spacing w:after="0" w:line="240" w:lineRule="auto"/>
        <w:ind w:left="0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BC23E8" w:rsidRPr="00BC23E8" w:rsidRDefault="00BC23E8" w:rsidP="00BC23E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C23E8">
        <w:rPr>
          <w:rFonts w:asciiTheme="majorHAnsi" w:eastAsia="Arial" w:hAnsiTheme="majorHAnsi" w:cs="Times New Roman"/>
          <w:b/>
          <w:sz w:val="24"/>
          <w:szCs w:val="24"/>
        </w:rPr>
        <w:t xml:space="preserve">Prilog 1. </w:t>
      </w:r>
      <w:r>
        <w:rPr>
          <w:rFonts w:asciiTheme="majorHAnsi" w:eastAsia="Arial" w:hAnsiTheme="majorHAnsi" w:cs="Times New Roman"/>
          <w:b/>
          <w:sz w:val="24"/>
          <w:szCs w:val="24"/>
        </w:rPr>
        <w:t>– Popis čestica poljoprivrednog zemljišta RH po oblicima raspolaganja</w:t>
      </w:r>
    </w:p>
    <w:p w:rsidR="00BC23E8" w:rsidRPr="00BC23E8" w:rsidRDefault="00BC23E8" w:rsidP="00BC23E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C23E8">
        <w:rPr>
          <w:rFonts w:asciiTheme="majorHAnsi" w:eastAsia="Arial" w:hAnsiTheme="majorHAnsi" w:cs="Times New Roman"/>
          <w:b/>
          <w:sz w:val="24"/>
          <w:szCs w:val="24"/>
        </w:rPr>
        <w:t>Prilog 2.</w:t>
      </w:r>
      <w:r>
        <w:rPr>
          <w:rFonts w:asciiTheme="majorHAnsi" w:eastAsia="Arial" w:hAnsiTheme="majorHAnsi" w:cs="Times New Roman"/>
          <w:b/>
          <w:sz w:val="24"/>
          <w:szCs w:val="24"/>
        </w:rPr>
        <w:t xml:space="preserve"> – Kartografski pregled poljoprivrednog zemljišta RH</w:t>
      </w:r>
    </w:p>
    <w:sectPr w:rsidR="00BC23E8" w:rsidRPr="00BC23E8" w:rsidSect="006C3B69">
      <w:footerReference w:type="default" r:id="rId7"/>
      <w:pgSz w:w="11906" w:h="16840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DB" w:rsidRDefault="00D815DB" w:rsidP="00F614E9">
      <w:pPr>
        <w:spacing w:after="0" w:line="240" w:lineRule="auto"/>
      </w:pPr>
      <w:r>
        <w:separator/>
      </w:r>
    </w:p>
  </w:endnote>
  <w:endnote w:type="continuationSeparator" w:id="0">
    <w:p w:rsidR="00D815DB" w:rsidRDefault="00D815DB" w:rsidP="00F6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17469"/>
      <w:docPartObj>
        <w:docPartGallery w:val="Page Numbers (Bottom of Page)"/>
        <w:docPartUnique/>
      </w:docPartObj>
    </w:sdtPr>
    <w:sdtContent>
      <w:p w:rsidR="00F614E9" w:rsidRDefault="00F614E9">
        <w:pPr>
          <w:pStyle w:val="Podnoje"/>
          <w:jc w:val="right"/>
        </w:pPr>
        <w:fldSimple w:instr=" PAGE   \* MERGEFORMAT ">
          <w:r w:rsidR="00757E3C">
            <w:rPr>
              <w:noProof/>
            </w:rPr>
            <w:t>5</w:t>
          </w:r>
        </w:fldSimple>
      </w:p>
    </w:sdtContent>
  </w:sdt>
  <w:p w:rsidR="00F614E9" w:rsidRDefault="00F614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DB" w:rsidRDefault="00D815DB" w:rsidP="00F614E9">
      <w:pPr>
        <w:spacing w:after="0" w:line="240" w:lineRule="auto"/>
      </w:pPr>
      <w:r>
        <w:separator/>
      </w:r>
    </w:p>
  </w:footnote>
  <w:footnote w:type="continuationSeparator" w:id="0">
    <w:p w:rsidR="00D815DB" w:rsidRDefault="00D815DB" w:rsidP="00F6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4E698A"/>
    <w:multiLevelType w:val="multilevel"/>
    <w:tmpl w:val="850A6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E5971"/>
    <w:multiLevelType w:val="hybridMultilevel"/>
    <w:tmpl w:val="D4C6618C"/>
    <w:lvl w:ilvl="0" w:tplc="268C1A9A">
      <w:numFmt w:val="bullet"/>
      <w:lvlText w:val="-"/>
      <w:lvlJc w:val="left"/>
      <w:pPr>
        <w:ind w:left="360" w:hanging="360"/>
      </w:pPr>
      <w:rPr>
        <w:rFonts w:ascii="Cambria" w:eastAsia="Arial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B7D63"/>
    <w:multiLevelType w:val="multilevel"/>
    <w:tmpl w:val="850A6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3C3FA9"/>
    <w:multiLevelType w:val="hybridMultilevel"/>
    <w:tmpl w:val="F14CB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665"/>
    <w:multiLevelType w:val="hybridMultilevel"/>
    <w:tmpl w:val="F4368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0C49"/>
    <w:multiLevelType w:val="hybridMultilevel"/>
    <w:tmpl w:val="1DE8A9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BB3E81"/>
    <w:multiLevelType w:val="hybridMultilevel"/>
    <w:tmpl w:val="D988C0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D2FE1"/>
    <w:multiLevelType w:val="hybridMultilevel"/>
    <w:tmpl w:val="204C5F30"/>
    <w:lvl w:ilvl="0" w:tplc="E8B87D6A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874C6"/>
    <w:multiLevelType w:val="hybridMultilevel"/>
    <w:tmpl w:val="3ADA4A76"/>
    <w:lvl w:ilvl="0" w:tplc="268C1A9A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CA597F"/>
    <w:multiLevelType w:val="hybridMultilevel"/>
    <w:tmpl w:val="DE66A626"/>
    <w:lvl w:ilvl="0" w:tplc="E8B87D6A">
      <w:numFmt w:val="bullet"/>
      <w:lvlText w:val="-"/>
      <w:lvlJc w:val="left"/>
      <w:pPr>
        <w:ind w:left="441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B6"/>
    <w:rsid w:val="00091216"/>
    <w:rsid w:val="000C798E"/>
    <w:rsid w:val="0013718A"/>
    <w:rsid w:val="00203D7F"/>
    <w:rsid w:val="002132B6"/>
    <w:rsid w:val="002864C4"/>
    <w:rsid w:val="00317760"/>
    <w:rsid w:val="00327197"/>
    <w:rsid w:val="0039752A"/>
    <w:rsid w:val="003A558B"/>
    <w:rsid w:val="00400A8D"/>
    <w:rsid w:val="00411D87"/>
    <w:rsid w:val="00422894"/>
    <w:rsid w:val="004400C9"/>
    <w:rsid w:val="004B71AD"/>
    <w:rsid w:val="00531901"/>
    <w:rsid w:val="00542B41"/>
    <w:rsid w:val="00603B0A"/>
    <w:rsid w:val="006C3B69"/>
    <w:rsid w:val="00757E3C"/>
    <w:rsid w:val="007C1FF1"/>
    <w:rsid w:val="007F05A3"/>
    <w:rsid w:val="008F6499"/>
    <w:rsid w:val="00A35368"/>
    <w:rsid w:val="00AA716B"/>
    <w:rsid w:val="00AD2484"/>
    <w:rsid w:val="00AD631A"/>
    <w:rsid w:val="00B06CEF"/>
    <w:rsid w:val="00B6260C"/>
    <w:rsid w:val="00B84033"/>
    <w:rsid w:val="00BC23E8"/>
    <w:rsid w:val="00C14AD6"/>
    <w:rsid w:val="00C67C14"/>
    <w:rsid w:val="00CD727F"/>
    <w:rsid w:val="00CE2177"/>
    <w:rsid w:val="00D2183F"/>
    <w:rsid w:val="00D66E7C"/>
    <w:rsid w:val="00D815DB"/>
    <w:rsid w:val="00D842CA"/>
    <w:rsid w:val="00EE2FAC"/>
    <w:rsid w:val="00F6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2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32B6"/>
    <w:pPr>
      <w:ind w:left="720"/>
      <w:contextualSpacing/>
    </w:pPr>
  </w:style>
  <w:style w:type="table" w:styleId="Reetkatablice">
    <w:name w:val="Table Grid"/>
    <w:basedOn w:val="Obinatablica"/>
    <w:uiPriority w:val="59"/>
    <w:rsid w:val="002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6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14E9"/>
  </w:style>
  <w:style w:type="paragraph" w:styleId="Podnoje">
    <w:name w:val="footer"/>
    <w:basedOn w:val="Normal"/>
    <w:link w:val="PodnojeChar"/>
    <w:uiPriority w:val="99"/>
    <w:unhideWhenUsed/>
    <w:rsid w:val="00F6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DarkoR</cp:lastModifiedBy>
  <cp:revision>23</cp:revision>
  <dcterms:created xsi:type="dcterms:W3CDTF">2018-11-20T11:44:00Z</dcterms:created>
  <dcterms:modified xsi:type="dcterms:W3CDTF">2018-11-23T07:03:00Z</dcterms:modified>
</cp:coreProperties>
</file>