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A" w:rsidRPr="00E158E5" w:rsidRDefault="00946F1A" w:rsidP="00520915">
      <w:pPr>
        <w:spacing w:after="0"/>
      </w:pPr>
    </w:p>
    <w:tbl>
      <w:tblPr>
        <w:tblW w:w="15594" w:type="dxa"/>
        <w:tblInd w:w="-885" w:type="dxa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ayout w:type="fixed"/>
        <w:tblLook w:val="04A0"/>
      </w:tblPr>
      <w:tblGrid>
        <w:gridCol w:w="1135"/>
        <w:gridCol w:w="6095"/>
        <w:gridCol w:w="1276"/>
        <w:gridCol w:w="1418"/>
        <w:gridCol w:w="5670"/>
      </w:tblGrid>
      <w:tr w:rsidR="00946F1A" w:rsidRPr="005660B0" w:rsidTr="005660B0">
        <w:tc>
          <w:tcPr>
            <w:tcW w:w="15594" w:type="dxa"/>
            <w:gridSpan w:val="5"/>
            <w:shd w:val="pct10" w:color="auto" w:fill="auto"/>
          </w:tcPr>
          <w:p w:rsidR="00946F1A" w:rsidRPr="005660B0" w:rsidRDefault="00946F1A" w:rsidP="005660B0">
            <w:pPr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</w:p>
          <w:p w:rsidR="00CC0C57" w:rsidRPr="005660B0" w:rsidRDefault="00946F1A" w:rsidP="005660B0">
            <w:pPr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5660B0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Naziv akta:</w:t>
            </w:r>
            <w:r w:rsidR="00520915" w:rsidRPr="005660B0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 xml:space="preserve"> </w:t>
            </w:r>
            <w:r w:rsidR="0086173E" w:rsidRPr="005660B0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Plan razvoja Grada Ludbrega za razdoblje od 2021.-2027. godine</w:t>
            </w:r>
          </w:p>
        </w:tc>
      </w:tr>
      <w:tr w:rsidR="00946F1A" w:rsidRPr="005660B0" w:rsidTr="005660B0">
        <w:tc>
          <w:tcPr>
            <w:tcW w:w="15594" w:type="dxa"/>
            <w:gridSpan w:val="5"/>
            <w:tcBorders>
              <w:bottom w:val="single" w:sz="18" w:space="0" w:color="D9D9D9"/>
            </w:tcBorders>
            <w:shd w:val="pct10" w:color="auto" w:fill="auto"/>
          </w:tcPr>
          <w:p w:rsidR="00E14DF4" w:rsidRPr="005660B0" w:rsidRDefault="00E14DF4" w:rsidP="005660B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946F1A" w:rsidRPr="005660B0" w:rsidRDefault="00946F1A" w:rsidP="005660B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660B0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Razdoblje savjetovanja: </w:t>
            </w:r>
            <w:r w:rsidR="00DD5810" w:rsidRPr="005660B0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od </w:t>
            </w:r>
            <w:r w:rsidR="0086173E" w:rsidRPr="005660B0">
              <w:rPr>
                <w:rFonts w:ascii="Arial" w:hAnsi="Arial" w:cs="Arial"/>
                <w:b/>
                <w:color w:val="808080"/>
                <w:sz w:val="20"/>
                <w:szCs w:val="20"/>
              </w:rPr>
              <w:t>22.02.2021. do 23.03.2021.</w:t>
            </w:r>
          </w:p>
          <w:p w:rsidR="00E14DF4" w:rsidRPr="005660B0" w:rsidRDefault="00E14DF4" w:rsidP="005660B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546335" w:rsidRPr="005660B0" w:rsidTr="005660B0">
        <w:tc>
          <w:tcPr>
            <w:tcW w:w="1135" w:type="dxa"/>
            <w:shd w:val="pct30" w:color="auto" w:fill="auto"/>
          </w:tcPr>
          <w:p w:rsidR="00946F1A" w:rsidRPr="005660B0" w:rsidRDefault="00784B0B" w:rsidP="005660B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660B0">
              <w:rPr>
                <w:rFonts w:ascii="Arial" w:hAnsi="Arial" w:cs="Arial"/>
                <w:b/>
                <w:color w:val="808080"/>
                <w:sz w:val="20"/>
                <w:szCs w:val="20"/>
              </w:rPr>
              <w:t>Korisnik</w:t>
            </w:r>
          </w:p>
        </w:tc>
        <w:tc>
          <w:tcPr>
            <w:tcW w:w="6095" w:type="dxa"/>
            <w:shd w:val="pct30" w:color="auto" w:fill="auto"/>
          </w:tcPr>
          <w:p w:rsidR="00946F1A" w:rsidRPr="005660B0" w:rsidRDefault="00784B0B" w:rsidP="005660B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660B0">
              <w:rPr>
                <w:rFonts w:ascii="Arial" w:hAnsi="Arial" w:cs="Arial"/>
                <w:b/>
                <w:color w:val="808080"/>
                <w:sz w:val="20"/>
                <w:szCs w:val="20"/>
              </w:rPr>
              <w:t>Komentar</w:t>
            </w:r>
          </w:p>
        </w:tc>
        <w:tc>
          <w:tcPr>
            <w:tcW w:w="1276" w:type="dxa"/>
            <w:shd w:val="pct30" w:color="auto" w:fill="auto"/>
          </w:tcPr>
          <w:p w:rsidR="00946F1A" w:rsidRPr="005660B0" w:rsidRDefault="00784B0B" w:rsidP="005660B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660B0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Datum</w:t>
            </w:r>
          </w:p>
        </w:tc>
        <w:tc>
          <w:tcPr>
            <w:tcW w:w="1418" w:type="dxa"/>
            <w:shd w:val="pct30" w:color="auto" w:fill="auto"/>
          </w:tcPr>
          <w:p w:rsidR="00946F1A" w:rsidRPr="005660B0" w:rsidRDefault="00784B0B" w:rsidP="005660B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660B0">
              <w:rPr>
                <w:rFonts w:ascii="Arial" w:hAnsi="Arial" w:cs="Arial"/>
                <w:b/>
                <w:color w:val="808080"/>
                <w:sz w:val="20"/>
                <w:szCs w:val="20"/>
              </w:rPr>
              <w:t>Status</w:t>
            </w:r>
          </w:p>
        </w:tc>
        <w:tc>
          <w:tcPr>
            <w:tcW w:w="5670" w:type="dxa"/>
            <w:shd w:val="pct30" w:color="auto" w:fill="auto"/>
          </w:tcPr>
          <w:p w:rsidR="00946F1A" w:rsidRPr="005660B0" w:rsidRDefault="00784B0B" w:rsidP="005660B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660B0">
              <w:rPr>
                <w:rFonts w:ascii="Arial" w:hAnsi="Arial" w:cs="Arial"/>
                <w:b/>
                <w:color w:val="808080"/>
                <w:sz w:val="20"/>
                <w:szCs w:val="20"/>
              </w:rPr>
              <w:t>Odgovor</w:t>
            </w:r>
          </w:p>
        </w:tc>
      </w:tr>
      <w:tr w:rsidR="00546335" w:rsidRPr="005660B0" w:rsidTr="005660B0">
        <w:tc>
          <w:tcPr>
            <w:tcW w:w="1135" w:type="dxa"/>
            <w:shd w:val="clear" w:color="auto" w:fill="auto"/>
          </w:tcPr>
          <w:p w:rsidR="00946F1A" w:rsidRPr="005660B0" w:rsidRDefault="0086173E" w:rsidP="005660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0B0">
              <w:rPr>
                <w:rFonts w:ascii="Arial" w:hAnsi="Arial" w:cs="Arial"/>
                <w:sz w:val="20"/>
                <w:szCs w:val="20"/>
              </w:rPr>
              <w:t>Igor Dobec</w:t>
            </w:r>
          </w:p>
        </w:tc>
        <w:tc>
          <w:tcPr>
            <w:tcW w:w="6095" w:type="dxa"/>
          </w:tcPr>
          <w:p w:rsidR="00946F1A" w:rsidRPr="005660B0" w:rsidRDefault="0086173E" w:rsidP="005660B0">
            <w:pPr>
              <w:spacing w:after="0" w:line="240" w:lineRule="auto"/>
              <w:jc w:val="both"/>
              <w:rPr>
                <w:rFonts w:cs="Calibri"/>
              </w:rPr>
            </w:pPr>
            <w:r w:rsidRPr="005660B0">
              <w:rPr>
                <w:rFonts w:cs="Calibri"/>
              </w:rPr>
              <w:t xml:space="preserve">LUMEN - Ludbreška udruga mladih entuzijasta Ljudevita Gaja 4 42230 Ludbreg Članovi i predstavnici udruge LUMEN, kao jedine udruga za mlade u ludbreškom kraju smatraju da su mladi kao jedna od najbitnijih društvenih skupina u potpunosti zapostavljeni Planom razvoja Grada 2021-2027.  Udruga LUMEN je sa  6 financiranih projekata i 74 međunarodna partnerstva unutar programa ERASMUS+ 2013-2020  unutar područja mladih prepoznata kao jedna od najaktivnijih hrvatskih organizacija. Također kao udruga koja radi s ludbreškim mladima duže od 20 godina, ispitivanjem mišljenja i terenskim anketiranjem mladih kroz godine rada udruge radili smo na rješavanju ukazanih problema, prvenstveno nedostatka prostora za mlade. Sufinaciranja aktivnosti udruge od strane Grada iznosi ispod 5% godišnjeg proračuna udruge.  Nakon prisilnog iseljenja iz bivšeg Doma Tehnike 2014. godine (današnja Srednja škola Ludbreg), zahvaljujući privatnim donatorima i većinom kroz Europske fondove udruga je uredila svoj neovisni Klub mladih i volonterski centar u kojem provodi međunarodne programe i aktivnosti. Zbog razloga jer se navedeni prostor nalazi u stambenoj zgradi navedeni prostor nije adekvatan za glasnije aktivnosti s više sudionika (koncerti, slušanje muzike, radionice kod kojih se koriste glasniji alati), te za aktivnosti nakon 22:00h.  Unatoč godinama rada još nismo riješili najveći problem zbog kojeg su mladi iz Ludbrega u depriviranoj situaciji u odnosu na mlade iz ostalih okolnih gradova, ali većinom i mlade iz Europe. Naime većina gradova je udrugama mladih omogućila korištenje javnih prostora za alternativne centre urbane kulture u kojima se mogu </w:t>
            </w:r>
            <w:r w:rsidRPr="005660B0">
              <w:rPr>
                <w:rFonts w:cs="Calibri"/>
              </w:rPr>
              <w:lastRenderedPageBreak/>
              <w:t>odvijati aktivnosti uz minimalno 150-200 sudionika. Gotovo u svim situacijama udruge same financiranju rad alternativnih centara kroz projekte i redovne aktivnosti. Tako već godinama u okolici Ludbrega suradnjom organizacija mladih i jedinica lokalne samouprave djeluju: - Koprivnica - Dom mladih, FUNK (vojarna) - Varaždin - Kulturana, P4  - Novi Marof - Stara škola - Križevci - Klub kulture  - Čakovec - CeZaM  Navedeni objekti se većinom sami financiraju, a nije nerijetko da i zapošljavaju nekoliko mladih osoba. Ono što je još bitnije, mladima bi omogućili dodatni sadržaj zbog kojeg se žele vraćati iz mjesta studiranja natrag u Ludbreg.  S obzirom na kupovinu stare ciglane i mlina od strane Grada, predlažemo da se budućim programom predvidi prostor za Centar alternativne kulture mladih koji bi se financirao svojim radom i budućim projektima. Njime bi se omogućio mladima multimedijski neovisan prostor za glazbene probe, koncerte, slušaone, filmske projekcije, predavanja i radionice većeg opsega. Takav prostor bi također proširio turističku ponudu grada te privlačio mlade iz okolnih sredina. Objekti poput garaže ili tvorničke hale od 150-250 m2 bi zadovoljavao potrebe za buduće programe mladih, a takvih objekata ima nekoliko u trenutnom gradskom vlasništvu.  Igor Dobec, predsjednik udruge</w:t>
            </w:r>
          </w:p>
        </w:tc>
        <w:tc>
          <w:tcPr>
            <w:tcW w:w="1276" w:type="dxa"/>
          </w:tcPr>
          <w:p w:rsidR="00946F1A" w:rsidRPr="005660B0" w:rsidRDefault="0086173E" w:rsidP="00566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B0">
              <w:rPr>
                <w:rFonts w:ascii="Arial" w:hAnsi="Arial" w:cs="Arial"/>
                <w:sz w:val="20"/>
                <w:szCs w:val="20"/>
              </w:rPr>
              <w:lastRenderedPageBreak/>
              <w:t>23.2.2021. 14:03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A6856" w:rsidRPr="005660B0" w:rsidRDefault="00FA6856" w:rsidP="005660B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60B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8735EE">
              <w:rPr>
                <w:rFonts w:ascii="Arial" w:hAnsi="Arial" w:cs="Arial"/>
                <w:i/>
                <w:color w:val="FF0000"/>
                <w:sz w:val="20"/>
                <w:szCs w:val="20"/>
              </w:rPr>
              <w:t>Djelomično prihvaćen</w:t>
            </w:r>
          </w:p>
          <w:p w:rsidR="00FA6856" w:rsidRPr="005660B0" w:rsidRDefault="00FA6856" w:rsidP="005660B0">
            <w:pPr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5670" w:type="dxa"/>
          </w:tcPr>
          <w:p w:rsidR="00953FA2" w:rsidRPr="008735EE" w:rsidRDefault="00A93CD2" w:rsidP="005660B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8735EE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Prihvaćen djelomično. </w:t>
            </w:r>
          </w:p>
          <w:p w:rsidR="00A93CD2" w:rsidRPr="005660B0" w:rsidRDefault="00A93CD2" w:rsidP="005660B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93CD2" w:rsidRPr="005660B0" w:rsidRDefault="00A93CD2" w:rsidP="005660B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60B0">
              <w:rPr>
                <w:rFonts w:ascii="Arial" w:hAnsi="Arial" w:cs="Arial"/>
                <w:color w:val="FF0000"/>
                <w:sz w:val="20"/>
                <w:szCs w:val="20"/>
              </w:rPr>
              <w:t xml:space="preserve">Mladi kao društvena skupina uključeni su kroz planirane projekte od strateškog značaja za Grad Ludbreg te projektne aktivnosti koje su direktno usmjerene na mlade kao društvenu skupinu. Kao primjer navodimo </w:t>
            </w:r>
            <w:r w:rsidR="00727376" w:rsidRPr="005660B0">
              <w:rPr>
                <w:rFonts w:ascii="Arial" w:hAnsi="Arial" w:cs="Arial"/>
                <w:color w:val="FF0000"/>
                <w:sz w:val="20"/>
                <w:szCs w:val="20"/>
              </w:rPr>
              <w:t xml:space="preserve">strateške </w:t>
            </w:r>
            <w:r w:rsidRPr="005660B0">
              <w:rPr>
                <w:rFonts w:ascii="Arial" w:hAnsi="Arial" w:cs="Arial"/>
                <w:color w:val="FF0000"/>
                <w:sz w:val="20"/>
                <w:szCs w:val="20"/>
              </w:rPr>
              <w:t>projekt</w:t>
            </w:r>
            <w:r w:rsidR="00727376" w:rsidRPr="005660B0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5660B0">
              <w:rPr>
                <w:rFonts w:ascii="Arial" w:hAnsi="Arial" w:cs="Arial"/>
                <w:color w:val="FF0000"/>
                <w:sz w:val="20"/>
                <w:szCs w:val="20"/>
              </w:rPr>
              <w:t xml:space="preserve"> Outdoor Ludbreg, Povijesni park Ludbreg te Sportski park Ludbreg. Navedeni projekti u sebi sadrže aktivnosti koje će konkretno koristiti mladi, kao npr. atletska staza, igrališta za košarku i odbojku, bike park, uređene šetnice, prostori za edukaciju djece i mladih na otvorenom, prostori za</w:t>
            </w:r>
            <w:r w:rsidR="001D68A9" w:rsidRPr="005660B0">
              <w:rPr>
                <w:rFonts w:ascii="Arial" w:hAnsi="Arial" w:cs="Arial"/>
                <w:color w:val="FF0000"/>
                <w:sz w:val="20"/>
                <w:szCs w:val="20"/>
              </w:rPr>
              <w:t xml:space="preserve"> predavanja,</w:t>
            </w:r>
            <w:r w:rsidRPr="005660B0">
              <w:rPr>
                <w:rFonts w:ascii="Arial" w:hAnsi="Arial" w:cs="Arial"/>
                <w:color w:val="FF0000"/>
                <w:sz w:val="20"/>
                <w:szCs w:val="20"/>
              </w:rPr>
              <w:t xml:space="preserve"> edukaciju i aktivnosti mladih u budućem Kulturnom centru, ra</w:t>
            </w:r>
            <w:r w:rsidR="00727376" w:rsidRPr="005660B0"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  <w:r w:rsidR="001D68A9" w:rsidRPr="005660B0">
              <w:rPr>
                <w:rFonts w:ascii="Arial" w:hAnsi="Arial" w:cs="Arial"/>
                <w:color w:val="FF0000"/>
                <w:sz w:val="20"/>
                <w:szCs w:val="20"/>
              </w:rPr>
              <w:t xml:space="preserve">vijena sportska infrastruktura, </w:t>
            </w:r>
            <w:r w:rsidRPr="005660B0">
              <w:rPr>
                <w:rFonts w:ascii="Arial" w:hAnsi="Arial" w:cs="Arial"/>
                <w:color w:val="FF0000"/>
                <w:sz w:val="20"/>
                <w:szCs w:val="20"/>
              </w:rPr>
              <w:t>društvena infrastruktura poput bazen</w:t>
            </w:r>
            <w:r w:rsidR="001D68A9" w:rsidRPr="005660B0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D479B6" w:rsidRPr="005660B0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F5171" w:rsidRPr="005660B0" w:rsidRDefault="00BF5171" w:rsidP="005660B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F5171" w:rsidRPr="005660B0" w:rsidRDefault="00BF5171" w:rsidP="005660B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60B0">
              <w:rPr>
                <w:rFonts w:ascii="Arial" w:hAnsi="Arial" w:cs="Arial"/>
                <w:color w:val="FF0000"/>
                <w:sz w:val="20"/>
                <w:szCs w:val="20"/>
              </w:rPr>
              <w:t>Vezano na prijedlog da se budućim programom predvidi prostor za Centar alternativne kulture mladih, navodimo da je u Planu navedeno da će se prostor Ciglane i Mlina koristiti u društvene svrhe, da će se za njih odrediti nova namjena te da se ini mogu prenamijeniti za kulturne, društvene ili turističke sadržaje</w:t>
            </w:r>
            <w:r w:rsidR="00D257CB" w:rsidRPr="005660B0">
              <w:rPr>
                <w:rFonts w:ascii="Arial" w:hAnsi="Arial" w:cs="Arial"/>
                <w:color w:val="FF0000"/>
                <w:sz w:val="20"/>
                <w:szCs w:val="20"/>
              </w:rPr>
              <w:t xml:space="preserve"> koje će moći koristiti sve dobne skupine ovisno o njihovim potrebama. </w:t>
            </w:r>
          </w:p>
          <w:p w:rsidR="00BF5171" w:rsidRPr="005660B0" w:rsidRDefault="00BF5171" w:rsidP="005660B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F5171" w:rsidRPr="005660B0" w:rsidRDefault="00BF5171" w:rsidP="005660B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60B0">
              <w:rPr>
                <w:rFonts w:ascii="Arial" w:hAnsi="Arial" w:cs="Arial"/>
                <w:color w:val="FF0000"/>
                <w:sz w:val="20"/>
                <w:szCs w:val="20"/>
              </w:rPr>
              <w:t xml:space="preserve">Sukladno iznad navedenome, komentar se prihvaća djelomično, jer su tražene stavke već navedene u dokumentu. </w:t>
            </w:r>
          </w:p>
          <w:p w:rsidR="00D479B6" w:rsidRPr="005660B0" w:rsidRDefault="00D479B6" w:rsidP="005660B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8226A" w:rsidRPr="00E158E5" w:rsidRDefault="00C8226A">
      <w:pPr>
        <w:rPr>
          <w:rFonts w:ascii="Arial" w:hAnsi="Arial" w:cs="Arial"/>
          <w:color w:val="808080"/>
          <w:sz w:val="20"/>
          <w:szCs w:val="20"/>
        </w:rPr>
      </w:pPr>
    </w:p>
    <w:sectPr w:rsidR="00C8226A" w:rsidRPr="00E158E5" w:rsidSect="007C536F">
      <w:headerReference w:type="first" r:id="rId6"/>
      <w:pgSz w:w="16838" w:h="11906" w:orient="landscape"/>
      <w:pgMar w:top="951" w:right="1417" w:bottom="1417" w:left="1417" w:header="28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AB" w:rsidRDefault="008803AB" w:rsidP="00946F1A">
      <w:pPr>
        <w:spacing w:after="0" w:line="240" w:lineRule="auto"/>
      </w:pPr>
      <w:r>
        <w:separator/>
      </w:r>
    </w:p>
  </w:endnote>
  <w:endnote w:type="continuationSeparator" w:id="0">
    <w:p w:rsidR="008803AB" w:rsidRDefault="008803AB" w:rsidP="009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AB" w:rsidRDefault="008803AB" w:rsidP="00946F1A">
      <w:pPr>
        <w:spacing w:after="0" w:line="240" w:lineRule="auto"/>
      </w:pPr>
      <w:r>
        <w:separator/>
      </w:r>
    </w:p>
  </w:footnote>
  <w:footnote w:type="continuationSeparator" w:id="0">
    <w:p w:rsidR="008803AB" w:rsidRDefault="008803AB" w:rsidP="009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6F" w:rsidRDefault="00C37752">
    <w:pPr>
      <w:pStyle w:val="Zaglavl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2.7pt;margin-top:13.4pt;width:137.75pt;height:34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" strokecolor="white">
          <v:textbox style="mso-fit-shape-to-text:t">
            <w:txbxContent>
              <w:p w:rsidR="007C536F" w:rsidRPr="005660B0" w:rsidRDefault="007C536F" w:rsidP="007C536F">
                <w:pPr>
                  <w:spacing w:after="0" w:line="240" w:lineRule="auto"/>
                  <w:rPr>
                    <w:b/>
                    <w:noProof/>
                    <w:color w:val="808080"/>
                    <w:lang w:eastAsia="hr-HR"/>
                  </w:rPr>
                </w:pPr>
                <w:r w:rsidRPr="005660B0">
                  <w:rPr>
                    <w:b/>
                    <w:noProof/>
                    <w:color w:val="808080"/>
                    <w:lang w:eastAsia="hr-HR"/>
                  </w:rPr>
                  <w:t>REPUBLIKA HRVATSKA</w:t>
                </w:r>
              </w:p>
              <w:p w:rsidR="007C536F" w:rsidRPr="005660B0" w:rsidRDefault="0086173E" w:rsidP="007C536F">
                <w:pPr>
                  <w:spacing w:after="0" w:line="240" w:lineRule="auto"/>
                  <w:rPr>
                    <w:b/>
                    <w:color w:val="808080"/>
                  </w:rPr>
                </w:pPr>
                <w:r w:rsidRPr="005660B0">
                  <w:rPr>
                    <w:b/>
                    <w:noProof/>
                    <w:color w:val="808080"/>
                    <w:lang w:eastAsia="hr-HR"/>
                  </w:rPr>
                  <w:t>GRAD LUDBREG</w:t>
                </w:r>
              </w:p>
            </w:txbxContent>
          </v:textbox>
        </v:shape>
      </w:pict>
    </w:r>
    <w:r w:rsidR="00394BE4">
      <w:rPr>
        <w:noProof/>
        <w:lang w:eastAsia="hr-HR"/>
      </w:rPr>
      <w:drawing>
        <wp:inline distT="0" distB="0" distL="0" distR="0">
          <wp:extent cx="477520" cy="641350"/>
          <wp:effectExtent l="19050" t="0" r="0" b="0"/>
          <wp:docPr id="1" name="Slika 1" descr="Datoteka:Coat of arms of Croat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toteka:Coat of arms of Croati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6F1A"/>
    <w:rsid w:val="0001753A"/>
    <w:rsid w:val="00084810"/>
    <w:rsid w:val="00095998"/>
    <w:rsid w:val="000A6210"/>
    <w:rsid w:val="000D2A41"/>
    <w:rsid w:val="0012435A"/>
    <w:rsid w:val="001B0961"/>
    <w:rsid w:val="001B43C3"/>
    <w:rsid w:val="001D68A9"/>
    <w:rsid w:val="00205E4D"/>
    <w:rsid w:val="00255AF3"/>
    <w:rsid w:val="002B7FBD"/>
    <w:rsid w:val="00320982"/>
    <w:rsid w:val="00363C51"/>
    <w:rsid w:val="00394BE4"/>
    <w:rsid w:val="003A51DA"/>
    <w:rsid w:val="003B1141"/>
    <w:rsid w:val="003B7228"/>
    <w:rsid w:val="003E456A"/>
    <w:rsid w:val="00472239"/>
    <w:rsid w:val="004B055B"/>
    <w:rsid w:val="004D4B17"/>
    <w:rsid w:val="00520915"/>
    <w:rsid w:val="00546335"/>
    <w:rsid w:val="0054755A"/>
    <w:rsid w:val="00551C0E"/>
    <w:rsid w:val="005660B0"/>
    <w:rsid w:val="00577D71"/>
    <w:rsid w:val="00630B97"/>
    <w:rsid w:val="006721AA"/>
    <w:rsid w:val="00704413"/>
    <w:rsid w:val="00727376"/>
    <w:rsid w:val="00737A30"/>
    <w:rsid w:val="00744549"/>
    <w:rsid w:val="00784B0B"/>
    <w:rsid w:val="00787CAC"/>
    <w:rsid w:val="007C536F"/>
    <w:rsid w:val="007C7726"/>
    <w:rsid w:val="0086173E"/>
    <w:rsid w:val="00871E69"/>
    <w:rsid w:val="008735EE"/>
    <w:rsid w:val="008803AB"/>
    <w:rsid w:val="00892754"/>
    <w:rsid w:val="00946F1A"/>
    <w:rsid w:val="00953FA2"/>
    <w:rsid w:val="0099725F"/>
    <w:rsid w:val="009C341E"/>
    <w:rsid w:val="009C4CEC"/>
    <w:rsid w:val="00A9210D"/>
    <w:rsid w:val="00A93CD2"/>
    <w:rsid w:val="00B561DF"/>
    <w:rsid w:val="00B7668F"/>
    <w:rsid w:val="00BE5C48"/>
    <w:rsid w:val="00BF5171"/>
    <w:rsid w:val="00BF75F3"/>
    <w:rsid w:val="00C37752"/>
    <w:rsid w:val="00C8226A"/>
    <w:rsid w:val="00C91EF3"/>
    <w:rsid w:val="00CC0C57"/>
    <w:rsid w:val="00D252FB"/>
    <w:rsid w:val="00D257CB"/>
    <w:rsid w:val="00D30296"/>
    <w:rsid w:val="00D479B6"/>
    <w:rsid w:val="00D720C5"/>
    <w:rsid w:val="00D75DF2"/>
    <w:rsid w:val="00D975D2"/>
    <w:rsid w:val="00DA5BB5"/>
    <w:rsid w:val="00DB0A0F"/>
    <w:rsid w:val="00DD16AB"/>
    <w:rsid w:val="00DD34EF"/>
    <w:rsid w:val="00DD5810"/>
    <w:rsid w:val="00E14A32"/>
    <w:rsid w:val="00E14DF4"/>
    <w:rsid w:val="00E158E5"/>
    <w:rsid w:val="00E23220"/>
    <w:rsid w:val="00E251F0"/>
    <w:rsid w:val="00E30CAF"/>
    <w:rsid w:val="00E32626"/>
    <w:rsid w:val="00E55531"/>
    <w:rsid w:val="00E73B1D"/>
    <w:rsid w:val="00E73E66"/>
    <w:rsid w:val="00EB6C68"/>
    <w:rsid w:val="00F17645"/>
    <w:rsid w:val="00F255EA"/>
    <w:rsid w:val="00F74B9F"/>
    <w:rsid w:val="00F759D9"/>
    <w:rsid w:val="00F96ECD"/>
    <w:rsid w:val="00FA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6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6F1A"/>
  </w:style>
  <w:style w:type="paragraph" w:styleId="Podnoje">
    <w:name w:val="footer"/>
    <w:basedOn w:val="Normal"/>
    <w:link w:val="Podno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6F1A"/>
  </w:style>
  <w:style w:type="paragraph" w:styleId="Tekstbalonia">
    <w:name w:val="Balloon Text"/>
    <w:basedOn w:val="Normal"/>
    <w:link w:val="TekstbaloniaChar"/>
    <w:uiPriority w:val="99"/>
    <w:semiHidden/>
    <w:unhideWhenUsed/>
    <w:rsid w:val="0094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F1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E158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58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58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58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58E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Windows korisnik</cp:lastModifiedBy>
  <cp:revision>2</cp:revision>
  <cp:lastPrinted>2016-08-16T05:06:00Z</cp:lastPrinted>
  <dcterms:created xsi:type="dcterms:W3CDTF">2021-04-02T11:02:00Z</dcterms:created>
  <dcterms:modified xsi:type="dcterms:W3CDTF">2021-04-02T11:02:00Z</dcterms:modified>
</cp:coreProperties>
</file>