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6D" w:rsidRPr="00F8686D" w:rsidRDefault="00F8686D" w:rsidP="00F8686D">
      <w:pPr>
        <w:rPr>
          <w:rFonts w:cs="Arial"/>
          <w:sz w:val="20"/>
          <w:szCs w:val="20"/>
        </w:rPr>
      </w:pPr>
    </w:p>
    <w:p w:rsidR="00F8686D" w:rsidRPr="00F947B1" w:rsidRDefault="00F947B1" w:rsidP="00F9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F947B1">
        <w:rPr>
          <w:rFonts w:asciiTheme="minorHAnsi" w:hAnsiTheme="minorHAnsi" w:cstheme="minorHAnsi"/>
          <w:b/>
        </w:rPr>
        <w:t>Prilog Izvješću o izvršenju Programa građenja ko</w:t>
      </w:r>
      <w:r>
        <w:rPr>
          <w:rFonts w:asciiTheme="minorHAnsi" w:hAnsiTheme="minorHAnsi" w:cstheme="minorHAnsi"/>
          <w:b/>
        </w:rPr>
        <w:t>munalne infrastrukture u Gradu L</w:t>
      </w:r>
      <w:r w:rsidRPr="00F947B1">
        <w:rPr>
          <w:rFonts w:asciiTheme="minorHAnsi" w:hAnsiTheme="minorHAnsi" w:cstheme="minorHAnsi"/>
          <w:b/>
        </w:rPr>
        <w:t>udbregu u 2019.g.</w:t>
      </w:r>
    </w:p>
    <w:p w:rsidR="00AE2EE4" w:rsidRDefault="00AE2EE4" w:rsidP="00211879">
      <w:pPr>
        <w:jc w:val="both"/>
        <w:rPr>
          <w:rFonts w:asciiTheme="majorHAnsi" w:hAnsiTheme="majorHAnsi"/>
        </w:rPr>
      </w:pPr>
    </w:p>
    <w:p w:rsidR="00F947B1" w:rsidRDefault="00F947B1" w:rsidP="00F947B1">
      <w:pPr>
        <w:jc w:val="center"/>
        <w:rPr>
          <w:rFonts w:ascii="Calibri" w:hAnsi="Calibri" w:cs="Arial"/>
          <w:b/>
          <w:bCs/>
          <w:shadow/>
          <w:sz w:val="32"/>
          <w:szCs w:val="32"/>
        </w:rPr>
      </w:pPr>
      <w:r w:rsidRPr="00D34AE7">
        <w:rPr>
          <w:rFonts w:ascii="Calibri" w:hAnsi="Calibri" w:cs="Arial"/>
          <w:b/>
          <w:bCs/>
          <w:shadow/>
          <w:sz w:val="32"/>
          <w:szCs w:val="32"/>
        </w:rPr>
        <w:t>PREGLED ULAGANJA DRUGIH U INFRASTRUKTURU GRADA LUDBREGA</w:t>
      </w:r>
    </w:p>
    <w:p w:rsidR="00F947B1" w:rsidRDefault="00F947B1" w:rsidP="00F947B1">
      <w:pPr>
        <w:jc w:val="center"/>
        <w:rPr>
          <w:rFonts w:ascii="Calibri" w:hAnsi="Calibri" w:cs="Arial"/>
          <w:b/>
          <w:bCs/>
          <w:shadow/>
          <w:sz w:val="32"/>
          <w:szCs w:val="32"/>
        </w:rPr>
      </w:pPr>
      <w:r w:rsidRPr="00D34AE7">
        <w:rPr>
          <w:rFonts w:ascii="Calibri" w:hAnsi="Calibri" w:cs="Arial"/>
          <w:b/>
          <w:bCs/>
          <w:shadow/>
          <w:sz w:val="32"/>
          <w:szCs w:val="32"/>
        </w:rPr>
        <w:t>U 2019. GODINI</w:t>
      </w:r>
    </w:p>
    <w:p w:rsidR="00F947B1" w:rsidRDefault="00F947B1" w:rsidP="00F947B1">
      <w:pPr>
        <w:jc w:val="center"/>
        <w:rPr>
          <w:rFonts w:ascii="Calibri" w:hAnsi="Calibri" w:cs="Calibri"/>
          <w:b/>
          <w:bCs/>
        </w:rPr>
      </w:pPr>
    </w:p>
    <w:p w:rsidR="00F947B1" w:rsidRPr="00F947B1" w:rsidRDefault="00F947B1" w:rsidP="00F947B1">
      <w:pPr>
        <w:jc w:val="center"/>
        <w:rPr>
          <w:rFonts w:ascii="Calibri" w:hAnsi="Calibri" w:cs="Arial"/>
          <w:sz w:val="22"/>
          <w:szCs w:val="22"/>
        </w:rPr>
      </w:pPr>
      <w:r w:rsidRPr="00D34AE7">
        <w:rPr>
          <w:rFonts w:ascii="Calibri" w:hAnsi="Calibri" w:cs="Calibri"/>
          <w:bCs/>
        </w:rPr>
        <w:t>Ludbreg, 07.07.2020.</w:t>
      </w:r>
    </w:p>
    <w:p w:rsidR="00F947B1" w:rsidRDefault="00F947B1" w:rsidP="00211879">
      <w:pPr>
        <w:jc w:val="both"/>
        <w:rPr>
          <w:rFonts w:ascii="Calibri" w:hAnsi="Calibri" w:cs="Arial"/>
          <w:sz w:val="22"/>
          <w:szCs w:val="22"/>
        </w:rPr>
      </w:pPr>
    </w:p>
    <w:p w:rsidR="00D803FE" w:rsidRPr="00F947B1" w:rsidRDefault="00F947B1" w:rsidP="00F947B1">
      <w:pPr>
        <w:jc w:val="both"/>
        <w:rPr>
          <w:rFonts w:asciiTheme="majorHAnsi" w:hAnsiTheme="majorHAnsi"/>
        </w:rPr>
      </w:pPr>
      <w:r w:rsidRPr="00D34AE7">
        <w:rPr>
          <w:rFonts w:ascii="Calibri" w:hAnsi="Calibri" w:cs="Arial"/>
          <w:sz w:val="22"/>
          <w:szCs w:val="22"/>
        </w:rPr>
        <w:t>Napomena: izvještaj kompletiran nakon dostave podataka od strane svih učesnika</w:t>
      </w:r>
    </w:p>
    <w:tbl>
      <w:tblPr>
        <w:tblW w:w="9960" w:type="dxa"/>
        <w:tblInd w:w="93" w:type="dxa"/>
        <w:tblLook w:val="04A0"/>
      </w:tblPr>
      <w:tblGrid>
        <w:gridCol w:w="520"/>
        <w:gridCol w:w="3323"/>
        <w:gridCol w:w="357"/>
        <w:gridCol w:w="1360"/>
        <w:gridCol w:w="1377"/>
        <w:gridCol w:w="1400"/>
        <w:gridCol w:w="1623"/>
      </w:tblGrid>
      <w:tr w:rsidR="00D34AE7" w:rsidRPr="00D34AE7" w:rsidTr="00F947B1">
        <w:trPr>
          <w:trHeight w:val="33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shadow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shadow/>
                <w:color w:val="000000"/>
              </w:rPr>
              <w:t>PREGLED ULAGANJA DRUGIH U INFRASTRUKTURU GRADA LUDBREGA u 2019.</w:t>
            </w:r>
          </w:p>
        </w:tc>
      </w:tr>
      <w:tr w:rsidR="00D34AE7" w:rsidRPr="00D34AE7" w:rsidTr="00F947B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4AE7">
              <w:rPr>
                <w:rFonts w:ascii="Calibri" w:hAnsi="Calibri" w:cs="Calibri"/>
                <w:color w:val="000000"/>
              </w:rPr>
              <w:t>RB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UČESNICI U PROGRAMU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ULAGANJA    U 2019.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 xml:space="preserve">UKUPNO PO UČESNIKU  kn: </w:t>
            </w:r>
          </w:p>
        </w:tc>
      </w:tr>
      <w:tr w:rsidR="00D34AE7" w:rsidRPr="00D34AE7" w:rsidTr="00F947B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AE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AE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AE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34AE7" w:rsidRPr="00D34AE7" w:rsidTr="00F947B1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Županijska uprava za ceste*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(asfaltiranje)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Ludbreške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ulice u naselju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Bolfan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(LC 25207) - dio koji se odnosi na sufinanciranje ŽUC-a (75%) Vrijednost ukupne investicije = 524.143,75 kn (nositelj: ŽUC financira 75%)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4AE7">
              <w:rPr>
                <w:rFonts w:ascii="Calibri" w:hAnsi="Calibri" w:cs="Calibri"/>
                <w:sz w:val="22"/>
                <w:szCs w:val="22"/>
              </w:rPr>
              <w:t>393.107,81</w:t>
            </w:r>
          </w:p>
        </w:tc>
      </w:tr>
      <w:tr w:rsidR="00D34AE7" w:rsidRPr="00D34AE7" w:rsidTr="00F947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Održavanje LC 25094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Poljanec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4AE7">
              <w:rPr>
                <w:rFonts w:ascii="Calibri" w:hAnsi="Calibri" w:cs="Calibri"/>
                <w:sz w:val="22"/>
                <w:szCs w:val="22"/>
              </w:rPr>
              <w:t>159.863,98</w:t>
            </w:r>
          </w:p>
        </w:tc>
      </w:tr>
      <w:tr w:rsidR="00D34AE7" w:rsidRPr="00D34AE7" w:rsidTr="00F947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Održavanje LC 25098 Vinogradi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Ludbreški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4AE7">
              <w:rPr>
                <w:rFonts w:ascii="Calibri" w:hAnsi="Calibri" w:cs="Calibri"/>
                <w:sz w:val="22"/>
                <w:szCs w:val="22"/>
              </w:rPr>
              <w:t>306.081,00</w:t>
            </w:r>
          </w:p>
        </w:tc>
      </w:tr>
      <w:tr w:rsidR="00D34AE7" w:rsidRPr="00D34AE7" w:rsidTr="00F947B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ŽUC UKUPNO: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sz w:val="22"/>
                <w:szCs w:val="22"/>
              </w:rPr>
              <w:t>859.052,79</w:t>
            </w:r>
          </w:p>
        </w:tc>
      </w:tr>
      <w:tr w:rsidR="00D34AE7" w:rsidRPr="00D34AE7" w:rsidTr="00F947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HEP ODS - Elektra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Radovi na održavanju</w:t>
            </w: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postojećih elektroenergetskih objekata.                 </w:t>
            </w: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Ukupno: 330.000,00 kn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350.000,00</w:t>
            </w:r>
          </w:p>
        </w:tc>
      </w:tr>
      <w:tr w:rsidR="00D34AE7" w:rsidRPr="00D34AE7" w:rsidTr="00F947B1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II. Radovi na izgradnji novih te rekonstrukciji postojećih elektro -energetskih objekata: </w:t>
            </w:r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zamjena transformatora u TS  110/35/20Kv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Selnik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izgradnja 10(20) kV kabelskog voda od TS 35/10(20) kV Ludbreg do TS 10(20)/0,4kV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Bomark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-Pak, kabelske niskonaponske mreže u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naslejima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Ludbreg,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Bolfan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Čukovec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Ludbreški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Vinogradi, rekonstrukcija NN mreže u dijelu naselja Apatija)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5.500.000,00</w:t>
            </w:r>
          </w:p>
        </w:tc>
      </w:tr>
      <w:tr w:rsidR="00D34AE7" w:rsidRPr="00D34AE7" w:rsidTr="00F947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HEP ODS - ELEKTRA UKUPNO: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5.850.000,00</w:t>
            </w:r>
          </w:p>
        </w:tc>
      </w:tr>
      <w:tr w:rsidR="00D34AE7" w:rsidRPr="00D34AE7" w:rsidTr="00F947B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 xml:space="preserve">TERMOPLIN </w:t>
            </w:r>
            <w:proofErr w:type="spellStart"/>
            <w:r w:rsidRPr="00D34AE7">
              <w:rPr>
                <w:rFonts w:ascii="Calibri" w:hAnsi="Calibri" w:cs="Calibri"/>
                <w:b/>
                <w:bCs/>
                <w:color w:val="000000"/>
              </w:rPr>
              <w:t>d.d</w:t>
            </w:r>
            <w:proofErr w:type="spellEnd"/>
            <w:r w:rsidRPr="00D34AE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Radovi na rekonstrukciji i popravku plinske mreže i plinskih priključaka</w:t>
            </w:r>
            <w:r w:rsidRPr="00D34A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 dijelu Koprivničke ulice, dijelu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Ul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. V. Lisinskog i dijelu Ulice I. Gundulića u Ludbregu u dužini od 1766 m u iznosu od 1.626.417,00 kn + PDV)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2.033.021,25</w:t>
            </w:r>
          </w:p>
        </w:tc>
      </w:tr>
      <w:tr w:rsidR="00D34AE7" w:rsidRPr="00D34AE7" w:rsidTr="00F947B1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 xml:space="preserve">VARKOM </w:t>
            </w:r>
            <w:proofErr w:type="spellStart"/>
            <w:r w:rsidRPr="00D34AE7">
              <w:rPr>
                <w:rFonts w:ascii="Calibri" w:hAnsi="Calibri" w:cs="Calibri"/>
                <w:b/>
                <w:bCs/>
                <w:color w:val="000000"/>
              </w:rPr>
              <w:t>d.d</w:t>
            </w:r>
            <w:proofErr w:type="spellEnd"/>
            <w:r w:rsidRPr="00D34AE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I. Izrada projektne dokumentacije: </w:t>
            </w: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Idejni i glavni projekt vodoopskrbnog sustava Vinogradi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Ludbreški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Ribnjak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22.900,00</w:t>
            </w:r>
          </w:p>
        </w:tc>
      </w:tr>
      <w:tr w:rsidR="00D34AE7" w:rsidRPr="00D34AE7" w:rsidTr="00F947B1">
        <w:trPr>
          <w:trHeight w:val="31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F947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II. Izgradnja: </w:t>
            </w:r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izgradnja vodovodne mreže u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Martijanskoj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ulici u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Bolfanu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(259.570,00 kn), izgradnja vodoopskrbne mreže u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Martijanskoj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ulici u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Bolfanu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II. faza (123.270,00 kn), izgradnja vodoopskrbnog cjevovoda - servisna cesta Ludbreg (kod novog trg. centra) (215.412,00 kn) te kanalizacijskog cjevovoda na istoj lokaciji (718.332,00), izgradnja vodovodnog priključka poslovne građevine GD BREG Ludbreg,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Ul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R.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Fizira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(69.962,00 kn) te javne slavine na području Grada Ludbrega (61.076,00 kn)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1.447.622,00</w:t>
            </w:r>
          </w:p>
        </w:tc>
      </w:tr>
      <w:tr w:rsidR="00D34AE7" w:rsidRPr="00D34AE7" w:rsidTr="00F947B1">
        <w:trPr>
          <w:trHeight w:val="3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7" w:rsidRPr="00D34AE7" w:rsidRDefault="00D34AE7" w:rsidP="00F947B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I. Rekonstrukcije:  </w:t>
            </w:r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interventno održavanje vodoopskrbnog cjevovoda u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Vinogr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Ludbreškim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Križevačka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ul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odv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Zlatić) (42.759,00 kn), interventno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održav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kanalizac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mreže u Ulici A. Šenoe u Ludbregu (8.858,00 kn), interventno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održav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vodoopskrbnog cjevovoda u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Segovini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hidrostanicom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Segovina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(582.702,00 kn), investicijsko održavanje VT Vinogradi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Ludbr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(32.426,00 kn) te interventno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održav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sekundarne vodovod. mreže u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Segovini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(priključak J. Janković) (13.458,00 kn)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683.203,00</w:t>
            </w:r>
          </w:p>
        </w:tc>
      </w:tr>
      <w:tr w:rsidR="00D34AE7" w:rsidRPr="00D34AE7" w:rsidTr="00F947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 xml:space="preserve">VARKOM </w:t>
            </w:r>
            <w:proofErr w:type="spellStart"/>
            <w:r w:rsidRPr="00D34AE7">
              <w:rPr>
                <w:rFonts w:ascii="Calibri" w:hAnsi="Calibri" w:cs="Calibri"/>
                <w:b/>
                <w:bCs/>
                <w:color w:val="000000"/>
              </w:rPr>
              <w:t>d.d</w:t>
            </w:r>
            <w:proofErr w:type="spellEnd"/>
            <w:r w:rsidRPr="00D34AE7">
              <w:rPr>
                <w:rFonts w:ascii="Calibri" w:hAnsi="Calibri" w:cs="Calibri"/>
                <w:b/>
                <w:bCs/>
                <w:color w:val="000000"/>
              </w:rPr>
              <w:t>. UKUPNO: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2.153.725,00</w:t>
            </w:r>
          </w:p>
        </w:tc>
      </w:tr>
      <w:tr w:rsidR="00D34AE7" w:rsidRPr="00D34AE7" w:rsidTr="00F947B1">
        <w:trPr>
          <w:trHeight w:val="101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HRVATSKE CESTE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I. Redovno održavanje: </w:t>
            </w: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državne ceste DC2 (824.074,06 kn + PDV)  2. državne ceste DC24 (372.283,28 kn + PDV)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1.495.446,68</w:t>
            </w:r>
          </w:p>
        </w:tc>
      </w:tr>
      <w:tr w:rsidR="00D34AE7" w:rsidRPr="00D34AE7" w:rsidTr="00F947B1">
        <w:trPr>
          <w:trHeight w:val="26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F947B1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F94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II. Investicijsko održavanje: </w:t>
            </w:r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Izrada projektne dok. rekonstrukcije raskrižja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drž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ceste DC2 i županijske ceste ŽC2071 u 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Selniku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kod Ludbrega (21.850,00 kn + PDV), 2. Izrada idejnog, glavnog i izvedbenog projekta rekonstrukcije državne ceste D24, dionica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Hrastovsko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Ludbreg,  od raskrižja sa LC 25094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>Hrastovsko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Ludbreg do LC 25098 - Iznos: 0,00 kn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27.312,50</w:t>
            </w:r>
          </w:p>
        </w:tc>
      </w:tr>
      <w:tr w:rsidR="00D34AE7" w:rsidRPr="00D34AE7" w:rsidTr="00F947B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HRVATSKE CESTE UKUPNO: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1.522.759,18</w:t>
            </w:r>
          </w:p>
        </w:tc>
      </w:tr>
      <w:tr w:rsidR="00D34AE7" w:rsidRPr="00D34AE7" w:rsidTr="00F947B1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HRVATSKE VODE I VARKOM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Projektiranje kanalizacije aglomeracije Ludbreg (Grad Ludbreg, Općina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Martijanec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Općina Sv. </w:t>
            </w:r>
            <w:proofErr w:type="spellStart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Đurđ</w:t>
            </w:r>
            <w:proofErr w:type="spellEnd"/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2.915.625,00</w:t>
            </w:r>
          </w:p>
        </w:tc>
      </w:tr>
      <w:tr w:rsidR="00D34AE7" w:rsidRPr="00D34AE7" w:rsidTr="00F947B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SVEUKUPNO: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34AE7" w:rsidRPr="00D34AE7" w:rsidRDefault="00D34AE7" w:rsidP="00D34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AE7">
              <w:rPr>
                <w:rFonts w:ascii="Calibri" w:hAnsi="Calibri" w:cs="Calibri"/>
                <w:b/>
                <w:bCs/>
                <w:color w:val="000000"/>
              </w:rPr>
              <w:t>15.334.183,22</w:t>
            </w:r>
          </w:p>
        </w:tc>
      </w:tr>
      <w:tr w:rsidR="00D34AE7" w:rsidRPr="00D34AE7" w:rsidTr="00F947B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4AE7" w:rsidRPr="00D34AE7" w:rsidTr="00D34AE7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Izvor: Izvješća o ulaganjima dostavljena od strane svakog pojedinog učesnika</w:t>
            </w:r>
          </w:p>
        </w:tc>
      </w:tr>
      <w:tr w:rsidR="00D34AE7" w:rsidRPr="00D34AE7" w:rsidTr="00D34AE7">
        <w:trPr>
          <w:trHeight w:val="141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>* Iznosi iskazani pod točkom</w:t>
            </w:r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1. Ulaganja </w:t>
            </w:r>
            <w:proofErr w:type="spellStart"/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Žup</w:t>
            </w:r>
            <w:proofErr w:type="spellEnd"/>
            <w:r w:rsidRPr="00D34A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Uprave za ceste</w:t>
            </w:r>
            <w:r w:rsidRPr="00D34A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odnose se na dio koji je financirao ŽUC, a sufinanciranje Grada iskazano je u Glavi II. točki 2.1. Ludbreg</w:t>
            </w:r>
            <w:r w:rsidRPr="00D34AE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Izvještaja o izvršenju Programa gradnje objekata i uređaja komunalne infrastrukture u Gradu Ludbregu u 2019. godini</w:t>
            </w:r>
          </w:p>
        </w:tc>
      </w:tr>
      <w:tr w:rsidR="00D34AE7" w:rsidRPr="00D34AE7" w:rsidTr="00F947B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AE7" w:rsidRPr="00D34AE7" w:rsidRDefault="00D34AE7" w:rsidP="00D34AE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E7" w:rsidRPr="00D34AE7" w:rsidRDefault="00D34AE7" w:rsidP="00D34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E7" w:rsidRPr="00D34AE7" w:rsidRDefault="00D34AE7" w:rsidP="00D34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3FE" w:rsidRPr="007B21BB" w:rsidRDefault="00D803FE" w:rsidP="00211879">
      <w:pPr>
        <w:jc w:val="both"/>
        <w:rPr>
          <w:rFonts w:asciiTheme="majorHAnsi" w:hAnsiTheme="majorHAnsi"/>
        </w:rPr>
      </w:pPr>
    </w:p>
    <w:sectPr w:rsidR="00D803FE" w:rsidRPr="007B21BB" w:rsidSect="0042377F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2D" w:rsidRDefault="0044092D">
      <w:r>
        <w:separator/>
      </w:r>
    </w:p>
  </w:endnote>
  <w:endnote w:type="continuationSeparator" w:id="0">
    <w:p w:rsidR="0044092D" w:rsidRDefault="00440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E4" w:rsidRDefault="008A0E60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EE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EE4" w:rsidRDefault="00AE2EE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E4" w:rsidRPr="009B32A5" w:rsidRDefault="00AE2EE4" w:rsidP="00EB2941">
    <w:pPr>
      <w:pStyle w:val="Podnoje"/>
      <w:framePr w:wrap="around" w:vAnchor="text" w:hAnchor="margin" w:xAlign="center" w:y="1"/>
      <w:rPr>
        <w:rStyle w:val="Brojstranice"/>
        <w:rFonts w:ascii="Cambria" w:hAnsi="Cambria"/>
        <w:sz w:val="20"/>
        <w:szCs w:val="20"/>
      </w:rPr>
    </w:pPr>
  </w:p>
  <w:p w:rsidR="00AE2EE4" w:rsidRDefault="00AE2EE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2D" w:rsidRDefault="0044092D">
      <w:r>
        <w:separator/>
      </w:r>
    </w:p>
  </w:footnote>
  <w:footnote w:type="continuationSeparator" w:id="0">
    <w:p w:rsidR="0044092D" w:rsidRDefault="00440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6CE9"/>
    <w:rsid w:val="00071BC5"/>
    <w:rsid w:val="000748FF"/>
    <w:rsid w:val="00076C12"/>
    <w:rsid w:val="000820B8"/>
    <w:rsid w:val="0008252D"/>
    <w:rsid w:val="000852FC"/>
    <w:rsid w:val="0008592A"/>
    <w:rsid w:val="00087B3C"/>
    <w:rsid w:val="000A0EE6"/>
    <w:rsid w:val="000A2A33"/>
    <w:rsid w:val="000A488F"/>
    <w:rsid w:val="000A58FE"/>
    <w:rsid w:val="000A710A"/>
    <w:rsid w:val="000B0054"/>
    <w:rsid w:val="000B1210"/>
    <w:rsid w:val="000B2461"/>
    <w:rsid w:val="000B4638"/>
    <w:rsid w:val="000B47F4"/>
    <w:rsid w:val="000B79ED"/>
    <w:rsid w:val="000C00A3"/>
    <w:rsid w:val="000C1925"/>
    <w:rsid w:val="000C60F8"/>
    <w:rsid w:val="000D2106"/>
    <w:rsid w:val="000E110C"/>
    <w:rsid w:val="000E27EB"/>
    <w:rsid w:val="000E2D28"/>
    <w:rsid w:val="000E5EED"/>
    <w:rsid w:val="000F0E5A"/>
    <w:rsid w:val="000F122A"/>
    <w:rsid w:val="000F21F1"/>
    <w:rsid w:val="000F3565"/>
    <w:rsid w:val="000F45F6"/>
    <w:rsid w:val="000F4E6B"/>
    <w:rsid w:val="001017E8"/>
    <w:rsid w:val="00102142"/>
    <w:rsid w:val="001079BB"/>
    <w:rsid w:val="00111613"/>
    <w:rsid w:val="001141C9"/>
    <w:rsid w:val="001168E5"/>
    <w:rsid w:val="00117005"/>
    <w:rsid w:val="00121037"/>
    <w:rsid w:val="001237A4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0EF6"/>
    <w:rsid w:val="00162D74"/>
    <w:rsid w:val="001647AD"/>
    <w:rsid w:val="00164C3B"/>
    <w:rsid w:val="0018052C"/>
    <w:rsid w:val="00181A47"/>
    <w:rsid w:val="0018364E"/>
    <w:rsid w:val="00184238"/>
    <w:rsid w:val="001873F1"/>
    <w:rsid w:val="001877ED"/>
    <w:rsid w:val="0019000B"/>
    <w:rsid w:val="00195955"/>
    <w:rsid w:val="001A1587"/>
    <w:rsid w:val="001A3D4B"/>
    <w:rsid w:val="001B1178"/>
    <w:rsid w:val="001B2689"/>
    <w:rsid w:val="001B4011"/>
    <w:rsid w:val="001B67DE"/>
    <w:rsid w:val="001C0284"/>
    <w:rsid w:val="001C1457"/>
    <w:rsid w:val="001C37B8"/>
    <w:rsid w:val="001C4441"/>
    <w:rsid w:val="001C5481"/>
    <w:rsid w:val="001C66C7"/>
    <w:rsid w:val="001D02D8"/>
    <w:rsid w:val="001D278E"/>
    <w:rsid w:val="001E0D13"/>
    <w:rsid w:val="001E39F0"/>
    <w:rsid w:val="001E5700"/>
    <w:rsid w:val="001F07DD"/>
    <w:rsid w:val="001F1928"/>
    <w:rsid w:val="001F3100"/>
    <w:rsid w:val="001F4C8A"/>
    <w:rsid w:val="001F7F84"/>
    <w:rsid w:val="00201F33"/>
    <w:rsid w:val="00202EEE"/>
    <w:rsid w:val="00205A90"/>
    <w:rsid w:val="0021000E"/>
    <w:rsid w:val="00211879"/>
    <w:rsid w:val="00216DA9"/>
    <w:rsid w:val="00241877"/>
    <w:rsid w:val="00247851"/>
    <w:rsid w:val="00253936"/>
    <w:rsid w:val="00257E41"/>
    <w:rsid w:val="00260E25"/>
    <w:rsid w:val="00261006"/>
    <w:rsid w:val="00261CDA"/>
    <w:rsid w:val="002640B6"/>
    <w:rsid w:val="002644C9"/>
    <w:rsid w:val="00267A03"/>
    <w:rsid w:val="00276495"/>
    <w:rsid w:val="00291CAB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7B6"/>
    <w:rsid w:val="002D68F8"/>
    <w:rsid w:val="002E18FD"/>
    <w:rsid w:val="002F1260"/>
    <w:rsid w:val="002F4373"/>
    <w:rsid w:val="00301894"/>
    <w:rsid w:val="00303857"/>
    <w:rsid w:val="00307EE6"/>
    <w:rsid w:val="00311894"/>
    <w:rsid w:val="0031342B"/>
    <w:rsid w:val="00317704"/>
    <w:rsid w:val="003237CB"/>
    <w:rsid w:val="00327247"/>
    <w:rsid w:val="00335C33"/>
    <w:rsid w:val="003418BC"/>
    <w:rsid w:val="00350F24"/>
    <w:rsid w:val="00352BCB"/>
    <w:rsid w:val="00355BF6"/>
    <w:rsid w:val="00357C9E"/>
    <w:rsid w:val="00363FE7"/>
    <w:rsid w:val="00364CEA"/>
    <w:rsid w:val="0037203B"/>
    <w:rsid w:val="00372417"/>
    <w:rsid w:val="00381FAB"/>
    <w:rsid w:val="00392F7D"/>
    <w:rsid w:val="003961F4"/>
    <w:rsid w:val="00396659"/>
    <w:rsid w:val="00397D3C"/>
    <w:rsid w:val="003A1B5B"/>
    <w:rsid w:val="003A44BC"/>
    <w:rsid w:val="003B1C1C"/>
    <w:rsid w:val="003B29BC"/>
    <w:rsid w:val="003B3371"/>
    <w:rsid w:val="003B4EBF"/>
    <w:rsid w:val="003B506D"/>
    <w:rsid w:val="003B5672"/>
    <w:rsid w:val="003C6C64"/>
    <w:rsid w:val="003C70E5"/>
    <w:rsid w:val="003C7843"/>
    <w:rsid w:val="003D29AB"/>
    <w:rsid w:val="003D2E13"/>
    <w:rsid w:val="003D42ED"/>
    <w:rsid w:val="003D5AC6"/>
    <w:rsid w:val="003D6756"/>
    <w:rsid w:val="003D6DDB"/>
    <w:rsid w:val="003D75DE"/>
    <w:rsid w:val="003E123E"/>
    <w:rsid w:val="003E28B5"/>
    <w:rsid w:val="003F1C60"/>
    <w:rsid w:val="003F40BE"/>
    <w:rsid w:val="004018B0"/>
    <w:rsid w:val="004020FF"/>
    <w:rsid w:val="00410614"/>
    <w:rsid w:val="00421358"/>
    <w:rsid w:val="0042377F"/>
    <w:rsid w:val="004239A9"/>
    <w:rsid w:val="00424110"/>
    <w:rsid w:val="00430523"/>
    <w:rsid w:val="004310C0"/>
    <w:rsid w:val="004328F0"/>
    <w:rsid w:val="00435C20"/>
    <w:rsid w:val="00440874"/>
    <w:rsid w:val="0044092D"/>
    <w:rsid w:val="00442318"/>
    <w:rsid w:val="00444885"/>
    <w:rsid w:val="00447115"/>
    <w:rsid w:val="00447433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7028"/>
    <w:rsid w:val="0049399A"/>
    <w:rsid w:val="00494486"/>
    <w:rsid w:val="00495CF8"/>
    <w:rsid w:val="004A1EAF"/>
    <w:rsid w:val="004A6129"/>
    <w:rsid w:val="004B4139"/>
    <w:rsid w:val="004C1825"/>
    <w:rsid w:val="004C645B"/>
    <w:rsid w:val="004D604C"/>
    <w:rsid w:val="004E0F93"/>
    <w:rsid w:val="004E6FAC"/>
    <w:rsid w:val="004F741C"/>
    <w:rsid w:val="00500509"/>
    <w:rsid w:val="005016D9"/>
    <w:rsid w:val="00502941"/>
    <w:rsid w:val="00503E4D"/>
    <w:rsid w:val="00507215"/>
    <w:rsid w:val="00510855"/>
    <w:rsid w:val="005113E7"/>
    <w:rsid w:val="00511644"/>
    <w:rsid w:val="005146CA"/>
    <w:rsid w:val="0051503E"/>
    <w:rsid w:val="00516C85"/>
    <w:rsid w:val="005226E8"/>
    <w:rsid w:val="00523F41"/>
    <w:rsid w:val="00525092"/>
    <w:rsid w:val="00526729"/>
    <w:rsid w:val="005305F4"/>
    <w:rsid w:val="005312F5"/>
    <w:rsid w:val="0053180C"/>
    <w:rsid w:val="00533C6D"/>
    <w:rsid w:val="00547BCC"/>
    <w:rsid w:val="005524DE"/>
    <w:rsid w:val="00552800"/>
    <w:rsid w:val="00553246"/>
    <w:rsid w:val="00553E15"/>
    <w:rsid w:val="00555FFB"/>
    <w:rsid w:val="0055777E"/>
    <w:rsid w:val="00562940"/>
    <w:rsid w:val="00565E16"/>
    <w:rsid w:val="00566ACC"/>
    <w:rsid w:val="00570E3C"/>
    <w:rsid w:val="00576EAD"/>
    <w:rsid w:val="0059147B"/>
    <w:rsid w:val="00594A6D"/>
    <w:rsid w:val="00595AA0"/>
    <w:rsid w:val="00595DBB"/>
    <w:rsid w:val="00597F29"/>
    <w:rsid w:val="005A2F76"/>
    <w:rsid w:val="005A7841"/>
    <w:rsid w:val="005B2577"/>
    <w:rsid w:val="005B2ADA"/>
    <w:rsid w:val="005B3FC3"/>
    <w:rsid w:val="005B7232"/>
    <w:rsid w:val="005C1975"/>
    <w:rsid w:val="005C60BA"/>
    <w:rsid w:val="005C64E3"/>
    <w:rsid w:val="005C7D20"/>
    <w:rsid w:val="005D0C0B"/>
    <w:rsid w:val="005D6AE7"/>
    <w:rsid w:val="005E3B86"/>
    <w:rsid w:val="005E5CC4"/>
    <w:rsid w:val="005E68AC"/>
    <w:rsid w:val="005F09A2"/>
    <w:rsid w:val="00601FAE"/>
    <w:rsid w:val="006021D9"/>
    <w:rsid w:val="006030B7"/>
    <w:rsid w:val="00607D9C"/>
    <w:rsid w:val="00611180"/>
    <w:rsid w:val="00614AF4"/>
    <w:rsid w:val="0061731A"/>
    <w:rsid w:val="0062277A"/>
    <w:rsid w:val="00622F21"/>
    <w:rsid w:val="006231F5"/>
    <w:rsid w:val="0062358C"/>
    <w:rsid w:val="00624096"/>
    <w:rsid w:val="00636FCF"/>
    <w:rsid w:val="00641097"/>
    <w:rsid w:val="00642140"/>
    <w:rsid w:val="006441B9"/>
    <w:rsid w:val="00646E40"/>
    <w:rsid w:val="00654BED"/>
    <w:rsid w:val="006555A7"/>
    <w:rsid w:val="00664412"/>
    <w:rsid w:val="00672516"/>
    <w:rsid w:val="0067574A"/>
    <w:rsid w:val="00681951"/>
    <w:rsid w:val="00684621"/>
    <w:rsid w:val="006874D2"/>
    <w:rsid w:val="006970C3"/>
    <w:rsid w:val="006973E0"/>
    <w:rsid w:val="006A30A2"/>
    <w:rsid w:val="006A6A33"/>
    <w:rsid w:val="006A6DED"/>
    <w:rsid w:val="006B0016"/>
    <w:rsid w:val="006B2BF5"/>
    <w:rsid w:val="006B4612"/>
    <w:rsid w:val="006B5207"/>
    <w:rsid w:val="006B58D7"/>
    <w:rsid w:val="006C209F"/>
    <w:rsid w:val="006C2FF3"/>
    <w:rsid w:val="006C6EC4"/>
    <w:rsid w:val="006C6FDE"/>
    <w:rsid w:val="006C7A23"/>
    <w:rsid w:val="006D58DB"/>
    <w:rsid w:val="006E591A"/>
    <w:rsid w:val="006F3EB9"/>
    <w:rsid w:val="006F6E35"/>
    <w:rsid w:val="00700949"/>
    <w:rsid w:val="00700DFB"/>
    <w:rsid w:val="00703E6B"/>
    <w:rsid w:val="0071033F"/>
    <w:rsid w:val="0071419D"/>
    <w:rsid w:val="0071759C"/>
    <w:rsid w:val="00725E13"/>
    <w:rsid w:val="0072678F"/>
    <w:rsid w:val="0073154B"/>
    <w:rsid w:val="007333A1"/>
    <w:rsid w:val="00733AF9"/>
    <w:rsid w:val="007428F5"/>
    <w:rsid w:val="007478B5"/>
    <w:rsid w:val="00750109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41B2"/>
    <w:rsid w:val="00785D3C"/>
    <w:rsid w:val="00785DC0"/>
    <w:rsid w:val="00790A9F"/>
    <w:rsid w:val="007915E5"/>
    <w:rsid w:val="00791F19"/>
    <w:rsid w:val="00794261"/>
    <w:rsid w:val="007946B7"/>
    <w:rsid w:val="007960D6"/>
    <w:rsid w:val="007977EB"/>
    <w:rsid w:val="007A25FA"/>
    <w:rsid w:val="007A2E7E"/>
    <w:rsid w:val="007A38F9"/>
    <w:rsid w:val="007A652D"/>
    <w:rsid w:val="007A6BBA"/>
    <w:rsid w:val="007B21BB"/>
    <w:rsid w:val="007B3B6C"/>
    <w:rsid w:val="007B6F79"/>
    <w:rsid w:val="007C00F3"/>
    <w:rsid w:val="007C2DDE"/>
    <w:rsid w:val="007C4007"/>
    <w:rsid w:val="007C45AB"/>
    <w:rsid w:val="007C518E"/>
    <w:rsid w:val="007E4183"/>
    <w:rsid w:val="007E47D3"/>
    <w:rsid w:val="007E7DCF"/>
    <w:rsid w:val="007F3673"/>
    <w:rsid w:val="007F7589"/>
    <w:rsid w:val="00801BD7"/>
    <w:rsid w:val="00810149"/>
    <w:rsid w:val="00811718"/>
    <w:rsid w:val="008150F7"/>
    <w:rsid w:val="00817A2D"/>
    <w:rsid w:val="008218BD"/>
    <w:rsid w:val="008227C6"/>
    <w:rsid w:val="008231A2"/>
    <w:rsid w:val="00827845"/>
    <w:rsid w:val="008309DC"/>
    <w:rsid w:val="00832860"/>
    <w:rsid w:val="0083529C"/>
    <w:rsid w:val="00837FD3"/>
    <w:rsid w:val="0085008D"/>
    <w:rsid w:val="00852A75"/>
    <w:rsid w:val="0085746D"/>
    <w:rsid w:val="008640C6"/>
    <w:rsid w:val="00864D0D"/>
    <w:rsid w:val="0086622A"/>
    <w:rsid w:val="00867F0F"/>
    <w:rsid w:val="008740C9"/>
    <w:rsid w:val="008904A7"/>
    <w:rsid w:val="0089470C"/>
    <w:rsid w:val="008A0E60"/>
    <w:rsid w:val="008A2436"/>
    <w:rsid w:val="008A267D"/>
    <w:rsid w:val="008A29B4"/>
    <w:rsid w:val="008A70BA"/>
    <w:rsid w:val="008B38BC"/>
    <w:rsid w:val="008B38E7"/>
    <w:rsid w:val="008B6F9B"/>
    <w:rsid w:val="008C16E6"/>
    <w:rsid w:val="008C2770"/>
    <w:rsid w:val="008C309E"/>
    <w:rsid w:val="008C3E3E"/>
    <w:rsid w:val="008C48B0"/>
    <w:rsid w:val="008D021A"/>
    <w:rsid w:val="008D1FD7"/>
    <w:rsid w:val="008E1F8F"/>
    <w:rsid w:val="008E2F48"/>
    <w:rsid w:val="008E7993"/>
    <w:rsid w:val="008F23D5"/>
    <w:rsid w:val="008F2613"/>
    <w:rsid w:val="008F2D26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26556"/>
    <w:rsid w:val="009323D5"/>
    <w:rsid w:val="0093582D"/>
    <w:rsid w:val="00940C83"/>
    <w:rsid w:val="00957B49"/>
    <w:rsid w:val="00965106"/>
    <w:rsid w:val="00967B1B"/>
    <w:rsid w:val="009713B0"/>
    <w:rsid w:val="0097235C"/>
    <w:rsid w:val="00974151"/>
    <w:rsid w:val="0097494D"/>
    <w:rsid w:val="0097529A"/>
    <w:rsid w:val="00975B2C"/>
    <w:rsid w:val="00980271"/>
    <w:rsid w:val="0098078B"/>
    <w:rsid w:val="00994DCD"/>
    <w:rsid w:val="00997EF6"/>
    <w:rsid w:val="009A1195"/>
    <w:rsid w:val="009A7513"/>
    <w:rsid w:val="009B32A5"/>
    <w:rsid w:val="009B73F1"/>
    <w:rsid w:val="009C075E"/>
    <w:rsid w:val="009C1F65"/>
    <w:rsid w:val="009E0B8D"/>
    <w:rsid w:val="009F100A"/>
    <w:rsid w:val="009F12B2"/>
    <w:rsid w:val="009F17DB"/>
    <w:rsid w:val="009F1840"/>
    <w:rsid w:val="009F1880"/>
    <w:rsid w:val="009F2B9D"/>
    <w:rsid w:val="009F3B45"/>
    <w:rsid w:val="00A12629"/>
    <w:rsid w:val="00A15658"/>
    <w:rsid w:val="00A16309"/>
    <w:rsid w:val="00A2181B"/>
    <w:rsid w:val="00A26086"/>
    <w:rsid w:val="00A274DB"/>
    <w:rsid w:val="00A2776D"/>
    <w:rsid w:val="00A32570"/>
    <w:rsid w:val="00A36339"/>
    <w:rsid w:val="00A500FF"/>
    <w:rsid w:val="00A550CA"/>
    <w:rsid w:val="00A55DE8"/>
    <w:rsid w:val="00A575B1"/>
    <w:rsid w:val="00A60717"/>
    <w:rsid w:val="00A67558"/>
    <w:rsid w:val="00A7513E"/>
    <w:rsid w:val="00A810F7"/>
    <w:rsid w:val="00A811C8"/>
    <w:rsid w:val="00A8412C"/>
    <w:rsid w:val="00A86E1B"/>
    <w:rsid w:val="00A92BFD"/>
    <w:rsid w:val="00A938C2"/>
    <w:rsid w:val="00A940E7"/>
    <w:rsid w:val="00A955CE"/>
    <w:rsid w:val="00A97502"/>
    <w:rsid w:val="00AA3CED"/>
    <w:rsid w:val="00AA5673"/>
    <w:rsid w:val="00AB1CAE"/>
    <w:rsid w:val="00AC6989"/>
    <w:rsid w:val="00AD5DBB"/>
    <w:rsid w:val="00AD5E36"/>
    <w:rsid w:val="00AE1BFC"/>
    <w:rsid w:val="00AE2EE4"/>
    <w:rsid w:val="00AE2F06"/>
    <w:rsid w:val="00AE3D62"/>
    <w:rsid w:val="00AE5264"/>
    <w:rsid w:val="00AE536B"/>
    <w:rsid w:val="00AE5FC6"/>
    <w:rsid w:val="00AE61FF"/>
    <w:rsid w:val="00AF4868"/>
    <w:rsid w:val="00AF7A6D"/>
    <w:rsid w:val="00B00123"/>
    <w:rsid w:val="00B001C3"/>
    <w:rsid w:val="00B01B89"/>
    <w:rsid w:val="00B04F4D"/>
    <w:rsid w:val="00B0672B"/>
    <w:rsid w:val="00B06F2E"/>
    <w:rsid w:val="00B078D1"/>
    <w:rsid w:val="00B12926"/>
    <w:rsid w:val="00B252F0"/>
    <w:rsid w:val="00B27A38"/>
    <w:rsid w:val="00B35721"/>
    <w:rsid w:val="00B37A1E"/>
    <w:rsid w:val="00B45826"/>
    <w:rsid w:val="00B50008"/>
    <w:rsid w:val="00B518D5"/>
    <w:rsid w:val="00B535CA"/>
    <w:rsid w:val="00B53657"/>
    <w:rsid w:val="00B55CC7"/>
    <w:rsid w:val="00B6382D"/>
    <w:rsid w:val="00B6772E"/>
    <w:rsid w:val="00B72357"/>
    <w:rsid w:val="00B86950"/>
    <w:rsid w:val="00B91292"/>
    <w:rsid w:val="00BA01DA"/>
    <w:rsid w:val="00BA0446"/>
    <w:rsid w:val="00BA063C"/>
    <w:rsid w:val="00BA0EB3"/>
    <w:rsid w:val="00BA26CF"/>
    <w:rsid w:val="00BA3A98"/>
    <w:rsid w:val="00BA4E89"/>
    <w:rsid w:val="00BA630F"/>
    <w:rsid w:val="00BA7BB2"/>
    <w:rsid w:val="00BB3612"/>
    <w:rsid w:val="00BB6B95"/>
    <w:rsid w:val="00BB70FA"/>
    <w:rsid w:val="00BC4F34"/>
    <w:rsid w:val="00BE07DF"/>
    <w:rsid w:val="00BE5386"/>
    <w:rsid w:val="00BF02A6"/>
    <w:rsid w:val="00BF1693"/>
    <w:rsid w:val="00BF7E0C"/>
    <w:rsid w:val="00C125A6"/>
    <w:rsid w:val="00C15CE7"/>
    <w:rsid w:val="00C23063"/>
    <w:rsid w:val="00C31094"/>
    <w:rsid w:val="00C333D9"/>
    <w:rsid w:val="00C344E1"/>
    <w:rsid w:val="00C41D06"/>
    <w:rsid w:val="00C420D6"/>
    <w:rsid w:val="00C43811"/>
    <w:rsid w:val="00C46DDA"/>
    <w:rsid w:val="00C47460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5DAB"/>
    <w:rsid w:val="00CA66FE"/>
    <w:rsid w:val="00CB391B"/>
    <w:rsid w:val="00CB4644"/>
    <w:rsid w:val="00CB6EF1"/>
    <w:rsid w:val="00CB7A4E"/>
    <w:rsid w:val="00CC0E9E"/>
    <w:rsid w:val="00CC358E"/>
    <w:rsid w:val="00CC4AC9"/>
    <w:rsid w:val="00CC7324"/>
    <w:rsid w:val="00CC7596"/>
    <w:rsid w:val="00CD188F"/>
    <w:rsid w:val="00CE1273"/>
    <w:rsid w:val="00CE5983"/>
    <w:rsid w:val="00CE5B22"/>
    <w:rsid w:val="00CE6081"/>
    <w:rsid w:val="00CE71CF"/>
    <w:rsid w:val="00CF419D"/>
    <w:rsid w:val="00CF421B"/>
    <w:rsid w:val="00D00211"/>
    <w:rsid w:val="00D00D88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34AE7"/>
    <w:rsid w:val="00D35D1C"/>
    <w:rsid w:val="00D51A64"/>
    <w:rsid w:val="00D52F96"/>
    <w:rsid w:val="00D55165"/>
    <w:rsid w:val="00D57004"/>
    <w:rsid w:val="00D607AC"/>
    <w:rsid w:val="00D63A65"/>
    <w:rsid w:val="00D73C99"/>
    <w:rsid w:val="00D77DB6"/>
    <w:rsid w:val="00D803FE"/>
    <w:rsid w:val="00D80692"/>
    <w:rsid w:val="00D80D82"/>
    <w:rsid w:val="00D81BD2"/>
    <w:rsid w:val="00D826D5"/>
    <w:rsid w:val="00D82A94"/>
    <w:rsid w:val="00D90C84"/>
    <w:rsid w:val="00D9356A"/>
    <w:rsid w:val="00D94468"/>
    <w:rsid w:val="00D95CF2"/>
    <w:rsid w:val="00DA0160"/>
    <w:rsid w:val="00DA0D73"/>
    <w:rsid w:val="00DB1ED3"/>
    <w:rsid w:val="00DB3602"/>
    <w:rsid w:val="00DB36C5"/>
    <w:rsid w:val="00DB546F"/>
    <w:rsid w:val="00DB67A5"/>
    <w:rsid w:val="00DD6EE6"/>
    <w:rsid w:val="00DE3FDF"/>
    <w:rsid w:val="00DE7E72"/>
    <w:rsid w:val="00DF18B5"/>
    <w:rsid w:val="00DF2E10"/>
    <w:rsid w:val="00DF668A"/>
    <w:rsid w:val="00E01399"/>
    <w:rsid w:val="00E04692"/>
    <w:rsid w:val="00E06CD6"/>
    <w:rsid w:val="00E104FE"/>
    <w:rsid w:val="00E11587"/>
    <w:rsid w:val="00E11DEA"/>
    <w:rsid w:val="00E149D1"/>
    <w:rsid w:val="00E163C7"/>
    <w:rsid w:val="00E17535"/>
    <w:rsid w:val="00E2265A"/>
    <w:rsid w:val="00E22F08"/>
    <w:rsid w:val="00E246A5"/>
    <w:rsid w:val="00E24CEC"/>
    <w:rsid w:val="00E25F00"/>
    <w:rsid w:val="00E26BAC"/>
    <w:rsid w:val="00E3095D"/>
    <w:rsid w:val="00E327C9"/>
    <w:rsid w:val="00E32849"/>
    <w:rsid w:val="00E4387C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940E6"/>
    <w:rsid w:val="00EA43DB"/>
    <w:rsid w:val="00EA4940"/>
    <w:rsid w:val="00EB23E9"/>
    <w:rsid w:val="00EB2941"/>
    <w:rsid w:val="00EB2F7A"/>
    <w:rsid w:val="00EB6B39"/>
    <w:rsid w:val="00ED4E65"/>
    <w:rsid w:val="00ED75CF"/>
    <w:rsid w:val="00EE694B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54239"/>
    <w:rsid w:val="00F5424A"/>
    <w:rsid w:val="00F6148D"/>
    <w:rsid w:val="00F62F6D"/>
    <w:rsid w:val="00F6633A"/>
    <w:rsid w:val="00F667FF"/>
    <w:rsid w:val="00F7143B"/>
    <w:rsid w:val="00F72A9C"/>
    <w:rsid w:val="00F773C9"/>
    <w:rsid w:val="00F77AE1"/>
    <w:rsid w:val="00F8686D"/>
    <w:rsid w:val="00F86F2E"/>
    <w:rsid w:val="00F874CE"/>
    <w:rsid w:val="00F91528"/>
    <w:rsid w:val="00F92226"/>
    <w:rsid w:val="00F92794"/>
    <w:rsid w:val="00F93466"/>
    <w:rsid w:val="00F947B1"/>
    <w:rsid w:val="00F96C38"/>
    <w:rsid w:val="00FA08A5"/>
    <w:rsid w:val="00FA1FF0"/>
    <w:rsid w:val="00FA272A"/>
    <w:rsid w:val="00FA57C6"/>
    <w:rsid w:val="00FA706E"/>
    <w:rsid w:val="00FA75FA"/>
    <w:rsid w:val="00FB0C12"/>
    <w:rsid w:val="00FB24AD"/>
    <w:rsid w:val="00FB73B8"/>
    <w:rsid w:val="00FC0938"/>
    <w:rsid w:val="00FC0CE1"/>
    <w:rsid w:val="00FC14C1"/>
    <w:rsid w:val="00FC1B12"/>
    <w:rsid w:val="00FC2E05"/>
    <w:rsid w:val="00FC3CB8"/>
    <w:rsid w:val="00FC52E5"/>
    <w:rsid w:val="00FC721A"/>
    <w:rsid w:val="00FD0B7C"/>
    <w:rsid w:val="00FD724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55CC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rsid w:val="00BA01DA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BA01DA"/>
    <w:rPr>
      <w:b/>
      <w:bCs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rsid w:val="00BA01DA"/>
    <w:pPr>
      <w:ind w:firstLine="708"/>
    </w:pPr>
    <w:rPr>
      <w:b/>
      <w:bCs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01D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4F90-FC7F-4CA5-8FEE-F31CC101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2</cp:revision>
  <cp:lastPrinted>2020-07-10T10:26:00Z</cp:lastPrinted>
  <dcterms:created xsi:type="dcterms:W3CDTF">2020-07-10T11:38:00Z</dcterms:created>
  <dcterms:modified xsi:type="dcterms:W3CDTF">2020-07-10T11:38:00Z</dcterms:modified>
</cp:coreProperties>
</file>