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3AE" w:rsidRDefault="005D2F53" w:rsidP="00F26900">
      <w:pPr>
        <w:jc w:val="both"/>
        <w:rPr>
          <w:rFonts w:ascii="Arial" w:hAnsi="Arial"/>
          <w:lang w:val="de-DE"/>
        </w:rPr>
      </w:pPr>
      <w:r>
        <w:rPr>
          <w:rFonts w:ascii="Arial" w:hAnsi="Arial"/>
          <w:lang w:val="de-DE"/>
        </w:rPr>
        <w:t xml:space="preserve">  </w:t>
      </w:r>
      <w:r w:rsidR="001E7F7E">
        <w:rPr>
          <w:rFonts w:ascii="Arial" w:hAnsi="Arial"/>
          <w:lang w:val="de-DE"/>
        </w:rPr>
        <w:t xml:space="preserve"> </w:t>
      </w:r>
      <w:r w:rsidR="000A14F0">
        <w:rPr>
          <w:rFonts w:ascii="Arial" w:hAnsi="Arial"/>
          <w:lang w:val="de-DE"/>
        </w:rPr>
        <w:t xml:space="preserve">                                                                                                                                                                                                                                                                                                                                                                                                                                                                                                                                                                                                                                                                                                                                                                                                                                                                                                                                                                                                                                                                                                                                                                                                                                                                                                                                                                                                                                                                                                                                                                                                                                                                                                                                                                                                                                                                                                                                                                                                                                                                                                                                                                                                            </w:t>
      </w:r>
      <w:r w:rsidR="00EE1440">
        <w:rPr>
          <w:rFonts w:ascii="Arial" w:hAnsi="Arial"/>
          <w:lang w:val="de-DE"/>
        </w:rPr>
        <w:t xml:space="preserve"> </w:t>
      </w:r>
    </w:p>
    <w:p w:rsidR="00C543AE" w:rsidRDefault="00C543AE" w:rsidP="00F26900">
      <w:pPr>
        <w:jc w:val="both"/>
        <w:rPr>
          <w:rFonts w:ascii="Arial" w:hAnsi="Arial"/>
          <w:lang w:val="de-DE"/>
        </w:rPr>
      </w:pPr>
    </w:p>
    <w:p w:rsidR="00F26900" w:rsidRDefault="00F26900" w:rsidP="00F26900">
      <w:pPr>
        <w:jc w:val="both"/>
        <w:rPr>
          <w:b/>
          <w:i/>
          <w:sz w:val="24"/>
          <w:szCs w:val="24"/>
          <w:u w:val="single"/>
          <w:lang w:val="hr-HR"/>
        </w:rPr>
      </w:pPr>
      <w:r w:rsidRPr="00CE573E">
        <w:rPr>
          <w:lang w:val="hr-HR"/>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84pt" o:ole="" fillcolor="window">
            <v:imagedata r:id="rId8" o:title=""/>
          </v:shape>
          <o:OLEObject Type="Embed" ProgID="Word.Picture.8" ShapeID="_x0000_i1025" DrawAspect="Content" ObjectID="_1574589025" r:id="rId9"/>
        </w:object>
      </w:r>
      <w:r w:rsidR="00CC1721">
        <w:rPr>
          <w:lang w:val="hr-HR"/>
        </w:rPr>
        <w:tab/>
      </w:r>
      <w:r w:rsidR="00CC1721">
        <w:rPr>
          <w:lang w:val="hr-HR"/>
        </w:rPr>
        <w:tab/>
      </w:r>
      <w:r w:rsidR="00CC1721">
        <w:rPr>
          <w:lang w:val="hr-HR"/>
        </w:rPr>
        <w:tab/>
      </w:r>
      <w:r w:rsidR="00CC1721">
        <w:rPr>
          <w:lang w:val="hr-HR"/>
        </w:rPr>
        <w:tab/>
      </w:r>
      <w:r w:rsidR="00CC1721">
        <w:rPr>
          <w:lang w:val="hr-HR"/>
        </w:rPr>
        <w:tab/>
      </w:r>
    </w:p>
    <w:p w:rsidR="0012383D" w:rsidRDefault="0012383D" w:rsidP="00F26900">
      <w:pPr>
        <w:jc w:val="both"/>
        <w:rPr>
          <w:sz w:val="24"/>
          <w:szCs w:val="24"/>
          <w:lang w:val="hr-HR"/>
        </w:rPr>
      </w:pPr>
      <w:r>
        <w:rPr>
          <w:sz w:val="24"/>
          <w:szCs w:val="24"/>
          <w:lang w:val="hr-HR"/>
        </w:rPr>
        <w:t xml:space="preserve">      GRADSKO  VIJEĆE</w:t>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p>
    <w:p w:rsidR="00CC1721" w:rsidRDefault="00F26900" w:rsidP="00F26900">
      <w:pPr>
        <w:jc w:val="both"/>
        <w:rPr>
          <w:sz w:val="24"/>
          <w:szCs w:val="24"/>
          <w:lang w:val="hr-HR"/>
        </w:rPr>
      </w:pPr>
      <w:r>
        <w:rPr>
          <w:sz w:val="24"/>
          <w:szCs w:val="24"/>
          <w:lang w:val="hr-HR"/>
        </w:rPr>
        <w:t>K</w:t>
      </w:r>
      <w:r w:rsidR="004D5B3D">
        <w:rPr>
          <w:sz w:val="24"/>
          <w:szCs w:val="24"/>
          <w:lang w:val="hr-HR"/>
        </w:rPr>
        <w:t>LASA</w:t>
      </w:r>
      <w:r w:rsidR="00CC1721">
        <w:rPr>
          <w:sz w:val="24"/>
          <w:szCs w:val="24"/>
          <w:lang w:val="hr-HR"/>
        </w:rPr>
        <w:t>:</w:t>
      </w:r>
      <w:r w:rsidR="00FC0E4F">
        <w:rPr>
          <w:sz w:val="24"/>
          <w:szCs w:val="24"/>
          <w:lang w:val="hr-HR"/>
        </w:rPr>
        <w:t>410-01/</w:t>
      </w:r>
      <w:r w:rsidR="00F32F0F">
        <w:rPr>
          <w:sz w:val="24"/>
          <w:szCs w:val="24"/>
          <w:lang w:val="hr-HR"/>
        </w:rPr>
        <w:t>1</w:t>
      </w:r>
      <w:r w:rsidR="000D30DF">
        <w:rPr>
          <w:sz w:val="24"/>
          <w:szCs w:val="24"/>
          <w:lang w:val="hr-HR"/>
        </w:rPr>
        <w:t>7</w:t>
      </w:r>
      <w:r w:rsidR="00FC0E4F">
        <w:rPr>
          <w:sz w:val="24"/>
          <w:szCs w:val="24"/>
          <w:lang w:val="hr-HR"/>
        </w:rPr>
        <w:t>-01/</w:t>
      </w:r>
      <w:r w:rsidR="003B7882">
        <w:rPr>
          <w:sz w:val="24"/>
          <w:szCs w:val="24"/>
          <w:lang w:val="hr-HR"/>
        </w:rPr>
        <w:t>02</w:t>
      </w:r>
    </w:p>
    <w:p w:rsidR="00CC1721" w:rsidRDefault="00CC1721" w:rsidP="00F26900">
      <w:pPr>
        <w:jc w:val="both"/>
        <w:rPr>
          <w:sz w:val="24"/>
          <w:szCs w:val="24"/>
          <w:lang w:val="hr-HR"/>
        </w:rPr>
      </w:pPr>
      <w:r>
        <w:rPr>
          <w:sz w:val="24"/>
          <w:szCs w:val="24"/>
          <w:lang w:val="hr-HR"/>
        </w:rPr>
        <w:t>U</w:t>
      </w:r>
      <w:r w:rsidR="004D5B3D">
        <w:rPr>
          <w:sz w:val="24"/>
          <w:szCs w:val="24"/>
          <w:lang w:val="hr-HR"/>
        </w:rPr>
        <w:t>RBROJ</w:t>
      </w:r>
      <w:r>
        <w:rPr>
          <w:sz w:val="24"/>
          <w:szCs w:val="24"/>
          <w:lang w:val="hr-HR"/>
        </w:rPr>
        <w:t>:2186/18-0</w:t>
      </w:r>
      <w:r w:rsidR="004C59D3">
        <w:rPr>
          <w:sz w:val="24"/>
          <w:szCs w:val="24"/>
          <w:lang w:val="hr-HR"/>
        </w:rPr>
        <w:t>2</w:t>
      </w:r>
      <w:r>
        <w:rPr>
          <w:sz w:val="24"/>
          <w:szCs w:val="24"/>
          <w:lang w:val="hr-HR"/>
        </w:rPr>
        <w:t>/</w:t>
      </w:r>
      <w:r w:rsidR="004C59D3">
        <w:rPr>
          <w:sz w:val="24"/>
          <w:szCs w:val="24"/>
          <w:lang w:val="hr-HR"/>
        </w:rPr>
        <w:t>1</w:t>
      </w:r>
      <w:r>
        <w:rPr>
          <w:sz w:val="24"/>
          <w:szCs w:val="24"/>
          <w:lang w:val="hr-HR"/>
        </w:rPr>
        <w:t>-</w:t>
      </w:r>
      <w:r w:rsidR="008113AC">
        <w:rPr>
          <w:sz w:val="24"/>
          <w:szCs w:val="24"/>
          <w:lang w:val="hr-HR"/>
        </w:rPr>
        <w:t>1</w:t>
      </w:r>
      <w:r w:rsidR="000D30DF">
        <w:rPr>
          <w:sz w:val="24"/>
          <w:szCs w:val="24"/>
          <w:lang w:val="hr-HR"/>
        </w:rPr>
        <w:t>7</w:t>
      </w:r>
      <w:r>
        <w:rPr>
          <w:sz w:val="24"/>
          <w:szCs w:val="24"/>
          <w:lang w:val="hr-HR"/>
        </w:rPr>
        <w:t>-</w:t>
      </w:r>
      <w:r w:rsidR="004C59D3">
        <w:rPr>
          <w:sz w:val="24"/>
          <w:szCs w:val="24"/>
          <w:lang w:val="hr-HR"/>
        </w:rPr>
        <w:t>1</w:t>
      </w:r>
    </w:p>
    <w:p w:rsidR="00F26900" w:rsidRPr="00AA5D27" w:rsidRDefault="00CC1721" w:rsidP="00F26900">
      <w:pPr>
        <w:jc w:val="both"/>
        <w:rPr>
          <w:b/>
          <w:sz w:val="24"/>
          <w:szCs w:val="24"/>
          <w:u w:val="single"/>
          <w:lang w:val="hr-HR"/>
        </w:rPr>
      </w:pPr>
      <w:r>
        <w:rPr>
          <w:sz w:val="24"/>
          <w:szCs w:val="24"/>
          <w:lang w:val="hr-HR"/>
        </w:rPr>
        <w:t>Ludbreg,</w:t>
      </w:r>
      <w:r w:rsidR="0030357F">
        <w:rPr>
          <w:sz w:val="24"/>
          <w:szCs w:val="24"/>
          <w:lang w:val="hr-HR"/>
        </w:rPr>
        <w:t xml:space="preserve"> </w:t>
      </w:r>
      <w:r w:rsidR="005136B1">
        <w:rPr>
          <w:sz w:val="24"/>
          <w:szCs w:val="24"/>
          <w:lang w:val="hr-HR"/>
        </w:rPr>
        <w:t>19.12.2017.</w:t>
      </w:r>
      <w:r w:rsidR="00DF141A">
        <w:rPr>
          <w:sz w:val="24"/>
          <w:szCs w:val="24"/>
          <w:lang w:val="hr-HR"/>
        </w:rPr>
        <w:t xml:space="preserve">                                                          </w:t>
      </w:r>
      <w:r w:rsidR="00AA5D27" w:rsidRPr="00AA5D27">
        <w:rPr>
          <w:b/>
          <w:sz w:val="24"/>
          <w:szCs w:val="24"/>
          <w:u w:val="single"/>
          <w:lang w:val="hr-HR"/>
        </w:rPr>
        <w:t>PRIJEDLOG</w:t>
      </w:r>
    </w:p>
    <w:p w:rsidR="00F26900" w:rsidRDefault="00F26900" w:rsidP="00F26900">
      <w:pPr>
        <w:jc w:val="both"/>
        <w:rPr>
          <w:sz w:val="24"/>
          <w:szCs w:val="24"/>
          <w:lang w:val="hr-HR"/>
        </w:rPr>
      </w:pPr>
    </w:p>
    <w:p w:rsidR="00CC1721" w:rsidRPr="001E7F7E" w:rsidRDefault="00CC1721" w:rsidP="00F26900">
      <w:pPr>
        <w:jc w:val="both"/>
        <w:rPr>
          <w:color w:val="000000" w:themeColor="text1"/>
          <w:sz w:val="24"/>
          <w:szCs w:val="24"/>
          <w:lang w:val="hr-HR"/>
        </w:rPr>
      </w:pPr>
      <w:r w:rsidRPr="001E7F7E">
        <w:rPr>
          <w:color w:val="000000" w:themeColor="text1"/>
          <w:sz w:val="24"/>
          <w:szCs w:val="24"/>
          <w:lang w:val="hr-HR"/>
        </w:rPr>
        <w:tab/>
      </w:r>
      <w:r w:rsidRPr="001E7F7E">
        <w:rPr>
          <w:color w:val="000000" w:themeColor="text1"/>
          <w:sz w:val="24"/>
          <w:szCs w:val="24"/>
          <w:lang w:val="hr-HR"/>
        </w:rPr>
        <w:tab/>
      </w:r>
      <w:proofErr w:type="gramStart"/>
      <w:r w:rsidR="001E7F7E" w:rsidRPr="001E7F7E">
        <w:rPr>
          <w:color w:val="000000" w:themeColor="text1"/>
          <w:sz w:val="24"/>
          <w:szCs w:val="24"/>
        </w:rPr>
        <w:t xml:space="preserve">Na </w:t>
      </w:r>
      <w:proofErr w:type="spellStart"/>
      <w:r w:rsidR="001E7F7E" w:rsidRPr="001E7F7E">
        <w:rPr>
          <w:color w:val="000000" w:themeColor="text1"/>
          <w:sz w:val="24"/>
          <w:szCs w:val="24"/>
        </w:rPr>
        <w:t>temelju</w:t>
      </w:r>
      <w:proofErr w:type="spellEnd"/>
      <w:r w:rsidR="001E7F7E" w:rsidRPr="001E7F7E">
        <w:rPr>
          <w:color w:val="000000" w:themeColor="text1"/>
          <w:sz w:val="24"/>
          <w:szCs w:val="24"/>
        </w:rPr>
        <w:t xml:space="preserve"> </w:t>
      </w:r>
      <w:proofErr w:type="spellStart"/>
      <w:r w:rsidR="001E7F7E" w:rsidRPr="001E7F7E">
        <w:rPr>
          <w:color w:val="000000" w:themeColor="text1"/>
          <w:sz w:val="24"/>
          <w:szCs w:val="24"/>
        </w:rPr>
        <w:t>odredbe</w:t>
      </w:r>
      <w:proofErr w:type="spellEnd"/>
      <w:r w:rsidR="001E7F7E" w:rsidRPr="001E7F7E">
        <w:rPr>
          <w:color w:val="000000" w:themeColor="text1"/>
          <w:sz w:val="24"/>
          <w:szCs w:val="24"/>
        </w:rPr>
        <w:t xml:space="preserve"> </w:t>
      </w:r>
      <w:proofErr w:type="spellStart"/>
      <w:r w:rsidR="001E7F7E" w:rsidRPr="001E7F7E">
        <w:rPr>
          <w:color w:val="000000" w:themeColor="text1"/>
          <w:sz w:val="24"/>
          <w:szCs w:val="24"/>
        </w:rPr>
        <w:t>članka</w:t>
      </w:r>
      <w:proofErr w:type="spellEnd"/>
      <w:r w:rsidR="001E7F7E" w:rsidRPr="001E7F7E">
        <w:rPr>
          <w:color w:val="000000" w:themeColor="text1"/>
          <w:sz w:val="24"/>
          <w:szCs w:val="24"/>
        </w:rPr>
        <w:t xml:space="preserve"> 42.</w:t>
      </w:r>
      <w:proofErr w:type="gramEnd"/>
      <w:r w:rsidR="001E7F7E" w:rsidRPr="001E7F7E">
        <w:rPr>
          <w:color w:val="000000" w:themeColor="text1"/>
          <w:sz w:val="24"/>
          <w:szCs w:val="24"/>
        </w:rPr>
        <w:t xml:space="preserve"> </w:t>
      </w:r>
      <w:proofErr w:type="spellStart"/>
      <w:proofErr w:type="gramStart"/>
      <w:r w:rsidR="001E7F7E" w:rsidRPr="001E7F7E">
        <w:rPr>
          <w:color w:val="000000" w:themeColor="text1"/>
          <w:sz w:val="24"/>
          <w:szCs w:val="24"/>
        </w:rPr>
        <w:t>Zakona</w:t>
      </w:r>
      <w:proofErr w:type="spellEnd"/>
      <w:r w:rsidR="001E7F7E" w:rsidRPr="001E7F7E">
        <w:rPr>
          <w:color w:val="000000" w:themeColor="text1"/>
          <w:sz w:val="24"/>
          <w:szCs w:val="24"/>
        </w:rPr>
        <w:t xml:space="preserve"> o </w:t>
      </w:r>
      <w:proofErr w:type="spellStart"/>
      <w:r w:rsidR="001E7F7E" w:rsidRPr="001E7F7E">
        <w:rPr>
          <w:color w:val="000000" w:themeColor="text1"/>
          <w:sz w:val="24"/>
          <w:szCs w:val="24"/>
        </w:rPr>
        <w:t>lokalnim</w:t>
      </w:r>
      <w:proofErr w:type="spellEnd"/>
      <w:r w:rsidR="001E7F7E" w:rsidRPr="001E7F7E">
        <w:rPr>
          <w:color w:val="000000" w:themeColor="text1"/>
          <w:sz w:val="24"/>
          <w:szCs w:val="24"/>
        </w:rPr>
        <w:t xml:space="preserve"> </w:t>
      </w:r>
      <w:proofErr w:type="spellStart"/>
      <w:r w:rsidR="001E7F7E" w:rsidRPr="001E7F7E">
        <w:rPr>
          <w:color w:val="000000" w:themeColor="text1"/>
          <w:sz w:val="24"/>
          <w:szCs w:val="24"/>
        </w:rPr>
        <w:t>porezima</w:t>
      </w:r>
      <w:proofErr w:type="spellEnd"/>
      <w:r w:rsidR="001E7F7E" w:rsidRPr="001E7F7E">
        <w:rPr>
          <w:color w:val="000000" w:themeColor="text1"/>
          <w:sz w:val="24"/>
          <w:szCs w:val="24"/>
        </w:rPr>
        <w:t xml:space="preserve"> (»</w:t>
      </w:r>
      <w:proofErr w:type="spellStart"/>
      <w:r w:rsidR="001E7F7E" w:rsidRPr="001E7F7E">
        <w:rPr>
          <w:color w:val="000000" w:themeColor="text1"/>
          <w:sz w:val="24"/>
          <w:szCs w:val="24"/>
        </w:rPr>
        <w:t>Narodne</w:t>
      </w:r>
      <w:proofErr w:type="spellEnd"/>
      <w:r w:rsidR="001E7F7E" w:rsidRPr="001E7F7E">
        <w:rPr>
          <w:color w:val="000000" w:themeColor="text1"/>
          <w:sz w:val="24"/>
          <w:szCs w:val="24"/>
        </w:rPr>
        <w:t xml:space="preserve"> </w:t>
      </w:r>
      <w:proofErr w:type="spellStart"/>
      <w:r w:rsidR="001E7F7E" w:rsidRPr="001E7F7E">
        <w:rPr>
          <w:color w:val="000000" w:themeColor="text1"/>
          <w:sz w:val="24"/>
          <w:szCs w:val="24"/>
        </w:rPr>
        <w:t>novine</w:t>
      </w:r>
      <w:proofErr w:type="spellEnd"/>
      <w:r w:rsidR="001E7F7E" w:rsidRPr="001E7F7E">
        <w:rPr>
          <w:color w:val="000000" w:themeColor="text1"/>
          <w:sz w:val="24"/>
          <w:szCs w:val="24"/>
        </w:rPr>
        <w:t>« br. 115/16</w:t>
      </w:r>
      <w:r w:rsidR="007D61AF">
        <w:rPr>
          <w:color w:val="000000" w:themeColor="text1"/>
          <w:sz w:val="24"/>
          <w:szCs w:val="24"/>
        </w:rPr>
        <w:t xml:space="preserve"> </w:t>
      </w:r>
      <w:proofErr w:type="spellStart"/>
      <w:r w:rsidR="007D61AF">
        <w:rPr>
          <w:color w:val="000000" w:themeColor="text1"/>
          <w:sz w:val="24"/>
          <w:szCs w:val="24"/>
        </w:rPr>
        <w:t>i</w:t>
      </w:r>
      <w:proofErr w:type="spellEnd"/>
      <w:r w:rsidR="007D61AF">
        <w:rPr>
          <w:color w:val="000000" w:themeColor="text1"/>
          <w:sz w:val="24"/>
          <w:szCs w:val="24"/>
        </w:rPr>
        <w:t xml:space="preserve"> 101/2017</w:t>
      </w:r>
      <w:r w:rsidR="001E7F7E" w:rsidRPr="001E7F7E">
        <w:rPr>
          <w:color w:val="000000" w:themeColor="text1"/>
          <w:sz w:val="24"/>
          <w:szCs w:val="24"/>
        </w:rPr>
        <w:t xml:space="preserve">), </w:t>
      </w:r>
      <w:proofErr w:type="spellStart"/>
      <w:r w:rsidR="001E7F7E" w:rsidRPr="001E7F7E">
        <w:rPr>
          <w:color w:val="000000" w:themeColor="text1"/>
          <w:sz w:val="24"/>
          <w:szCs w:val="24"/>
        </w:rPr>
        <w:t>članka</w:t>
      </w:r>
      <w:proofErr w:type="spellEnd"/>
      <w:r w:rsidR="001E7F7E" w:rsidRPr="001E7F7E">
        <w:rPr>
          <w:color w:val="000000" w:themeColor="text1"/>
          <w:sz w:val="24"/>
          <w:szCs w:val="24"/>
        </w:rPr>
        <w:t xml:space="preserve"> 35.</w:t>
      </w:r>
      <w:proofErr w:type="gramEnd"/>
      <w:r w:rsidR="001E7F7E" w:rsidRPr="001E7F7E">
        <w:rPr>
          <w:color w:val="000000" w:themeColor="text1"/>
          <w:sz w:val="24"/>
          <w:szCs w:val="24"/>
        </w:rPr>
        <w:t xml:space="preserve"> </w:t>
      </w:r>
      <w:proofErr w:type="spellStart"/>
      <w:proofErr w:type="gramStart"/>
      <w:r w:rsidR="001E7F7E" w:rsidRPr="001E7F7E">
        <w:rPr>
          <w:color w:val="000000" w:themeColor="text1"/>
          <w:sz w:val="24"/>
          <w:szCs w:val="24"/>
        </w:rPr>
        <w:t>Zakona</w:t>
      </w:r>
      <w:proofErr w:type="spellEnd"/>
      <w:r w:rsidR="001E7F7E" w:rsidRPr="001E7F7E">
        <w:rPr>
          <w:color w:val="000000" w:themeColor="text1"/>
          <w:sz w:val="24"/>
          <w:szCs w:val="24"/>
        </w:rPr>
        <w:t xml:space="preserve"> o </w:t>
      </w:r>
      <w:proofErr w:type="spellStart"/>
      <w:r w:rsidR="001E7F7E" w:rsidRPr="001E7F7E">
        <w:rPr>
          <w:color w:val="000000" w:themeColor="text1"/>
          <w:sz w:val="24"/>
          <w:szCs w:val="24"/>
        </w:rPr>
        <w:t>lokalnoj</w:t>
      </w:r>
      <w:proofErr w:type="spellEnd"/>
      <w:r w:rsidR="001E7F7E" w:rsidRPr="001E7F7E">
        <w:rPr>
          <w:color w:val="000000" w:themeColor="text1"/>
          <w:sz w:val="24"/>
          <w:szCs w:val="24"/>
        </w:rPr>
        <w:t xml:space="preserve"> </w:t>
      </w:r>
      <w:proofErr w:type="spellStart"/>
      <w:r w:rsidR="001E7F7E" w:rsidRPr="001E7F7E">
        <w:rPr>
          <w:color w:val="000000" w:themeColor="text1"/>
          <w:sz w:val="24"/>
          <w:szCs w:val="24"/>
        </w:rPr>
        <w:t>i</w:t>
      </w:r>
      <w:proofErr w:type="spellEnd"/>
      <w:r w:rsidR="001E7F7E" w:rsidRPr="001E7F7E">
        <w:rPr>
          <w:color w:val="000000" w:themeColor="text1"/>
          <w:sz w:val="24"/>
          <w:szCs w:val="24"/>
        </w:rPr>
        <w:t xml:space="preserve"> </w:t>
      </w:r>
      <w:proofErr w:type="spellStart"/>
      <w:r w:rsidR="001E7F7E" w:rsidRPr="001E7F7E">
        <w:rPr>
          <w:color w:val="000000" w:themeColor="text1"/>
          <w:sz w:val="24"/>
          <w:szCs w:val="24"/>
        </w:rPr>
        <w:t>područnoj</w:t>
      </w:r>
      <w:proofErr w:type="spellEnd"/>
      <w:r w:rsidR="001E7F7E" w:rsidRPr="001E7F7E">
        <w:rPr>
          <w:color w:val="000000" w:themeColor="text1"/>
          <w:sz w:val="24"/>
          <w:szCs w:val="24"/>
        </w:rPr>
        <w:t xml:space="preserve"> (</w:t>
      </w:r>
      <w:proofErr w:type="spellStart"/>
      <w:r w:rsidR="001E7F7E" w:rsidRPr="001E7F7E">
        <w:rPr>
          <w:color w:val="000000" w:themeColor="text1"/>
          <w:sz w:val="24"/>
          <w:szCs w:val="24"/>
        </w:rPr>
        <w:t>regionalnoj</w:t>
      </w:r>
      <w:proofErr w:type="spellEnd"/>
      <w:r w:rsidR="001E7F7E" w:rsidRPr="001E7F7E">
        <w:rPr>
          <w:color w:val="000000" w:themeColor="text1"/>
          <w:sz w:val="24"/>
          <w:szCs w:val="24"/>
        </w:rPr>
        <w:t xml:space="preserve">) </w:t>
      </w:r>
      <w:proofErr w:type="spellStart"/>
      <w:r w:rsidR="001E7F7E" w:rsidRPr="001E7F7E">
        <w:rPr>
          <w:color w:val="000000" w:themeColor="text1"/>
          <w:sz w:val="24"/>
          <w:szCs w:val="24"/>
        </w:rPr>
        <w:t>samoupravi</w:t>
      </w:r>
      <w:proofErr w:type="spellEnd"/>
      <w:r w:rsidR="001E7F7E" w:rsidRPr="001E7F7E">
        <w:rPr>
          <w:color w:val="000000" w:themeColor="text1"/>
          <w:sz w:val="24"/>
          <w:szCs w:val="24"/>
        </w:rPr>
        <w:t xml:space="preserve"> (»</w:t>
      </w:r>
      <w:proofErr w:type="spellStart"/>
      <w:r w:rsidR="001E7F7E" w:rsidRPr="001E7F7E">
        <w:rPr>
          <w:color w:val="000000" w:themeColor="text1"/>
          <w:sz w:val="24"/>
          <w:szCs w:val="24"/>
        </w:rPr>
        <w:t>Narodne</w:t>
      </w:r>
      <w:proofErr w:type="spellEnd"/>
      <w:r w:rsidR="001E7F7E" w:rsidRPr="001E7F7E">
        <w:rPr>
          <w:color w:val="000000" w:themeColor="text1"/>
          <w:sz w:val="24"/>
          <w:szCs w:val="24"/>
        </w:rPr>
        <w:t xml:space="preserve"> </w:t>
      </w:r>
      <w:proofErr w:type="spellStart"/>
      <w:r w:rsidR="001E7F7E" w:rsidRPr="001E7F7E">
        <w:rPr>
          <w:color w:val="000000" w:themeColor="text1"/>
          <w:sz w:val="24"/>
          <w:szCs w:val="24"/>
        </w:rPr>
        <w:t>novine</w:t>
      </w:r>
      <w:proofErr w:type="spellEnd"/>
      <w:r w:rsidR="001E7F7E" w:rsidRPr="001E7F7E">
        <w:rPr>
          <w:color w:val="000000" w:themeColor="text1"/>
          <w:sz w:val="24"/>
          <w:szCs w:val="24"/>
        </w:rPr>
        <w:t xml:space="preserve">« br. 33/01, 60/01, 129/05, 109/07, 125/08, 36/09, 150/11, 144/12, 19/13, 137/15) </w:t>
      </w:r>
      <w:proofErr w:type="spellStart"/>
      <w:r w:rsidR="001E7F7E" w:rsidRPr="001E7F7E">
        <w:rPr>
          <w:color w:val="000000" w:themeColor="text1"/>
          <w:sz w:val="24"/>
          <w:szCs w:val="24"/>
        </w:rPr>
        <w:t>i</w:t>
      </w:r>
      <w:proofErr w:type="spellEnd"/>
      <w:r w:rsidRPr="001E7F7E">
        <w:rPr>
          <w:color w:val="000000" w:themeColor="text1"/>
          <w:sz w:val="24"/>
          <w:szCs w:val="24"/>
          <w:lang w:val="hr-HR"/>
        </w:rPr>
        <w:t xml:space="preserve"> članka </w:t>
      </w:r>
      <w:r w:rsidR="00C644B2" w:rsidRPr="001E7F7E">
        <w:rPr>
          <w:color w:val="000000" w:themeColor="text1"/>
          <w:sz w:val="24"/>
          <w:szCs w:val="24"/>
          <w:lang w:val="hr-HR"/>
        </w:rPr>
        <w:t>3</w:t>
      </w:r>
      <w:r w:rsidR="006179EB" w:rsidRPr="001E7F7E">
        <w:rPr>
          <w:color w:val="000000" w:themeColor="text1"/>
          <w:sz w:val="24"/>
          <w:szCs w:val="24"/>
          <w:lang w:val="hr-HR"/>
        </w:rPr>
        <w:t>3</w:t>
      </w:r>
      <w:r w:rsidRPr="001E7F7E">
        <w:rPr>
          <w:color w:val="000000" w:themeColor="text1"/>
          <w:sz w:val="24"/>
          <w:szCs w:val="24"/>
          <w:lang w:val="hr-HR"/>
        </w:rPr>
        <w:t>.</w:t>
      </w:r>
      <w:proofErr w:type="gramEnd"/>
      <w:r w:rsidRPr="001E7F7E">
        <w:rPr>
          <w:color w:val="000000" w:themeColor="text1"/>
          <w:sz w:val="24"/>
          <w:szCs w:val="24"/>
          <w:lang w:val="hr-HR"/>
        </w:rPr>
        <w:t xml:space="preserve"> Statuta Grada Ludbrega</w:t>
      </w:r>
      <w:r w:rsidR="00C644B2" w:rsidRPr="001E7F7E">
        <w:rPr>
          <w:color w:val="000000" w:themeColor="text1"/>
          <w:sz w:val="24"/>
          <w:szCs w:val="24"/>
          <w:lang w:val="hr-HR"/>
        </w:rPr>
        <w:t xml:space="preserve"> </w:t>
      </w:r>
      <w:r w:rsidRPr="001E7F7E">
        <w:rPr>
          <w:color w:val="000000" w:themeColor="text1"/>
          <w:sz w:val="24"/>
          <w:szCs w:val="24"/>
          <w:lang w:val="hr-HR"/>
        </w:rPr>
        <w:t>(«S</w:t>
      </w:r>
      <w:r w:rsidR="00E25B7F" w:rsidRPr="001E7F7E">
        <w:rPr>
          <w:color w:val="000000" w:themeColor="text1"/>
          <w:sz w:val="24"/>
          <w:szCs w:val="24"/>
          <w:lang w:val="hr-HR"/>
        </w:rPr>
        <w:t xml:space="preserve">lužbeni </w:t>
      </w:r>
      <w:r w:rsidRPr="001E7F7E">
        <w:rPr>
          <w:color w:val="000000" w:themeColor="text1"/>
          <w:sz w:val="24"/>
          <w:szCs w:val="24"/>
          <w:lang w:val="hr-HR"/>
        </w:rPr>
        <w:t xml:space="preserve">vjesnik Varaždinske županije» br. </w:t>
      </w:r>
      <w:r w:rsidR="00A900BD" w:rsidRPr="001E7F7E">
        <w:rPr>
          <w:color w:val="000000" w:themeColor="text1"/>
          <w:sz w:val="24"/>
          <w:szCs w:val="24"/>
          <w:lang w:val="hr-HR"/>
        </w:rPr>
        <w:t>23/09</w:t>
      </w:r>
      <w:r w:rsidR="00F50C2B" w:rsidRPr="001E7F7E">
        <w:rPr>
          <w:color w:val="000000" w:themeColor="text1"/>
          <w:sz w:val="24"/>
          <w:szCs w:val="24"/>
          <w:lang w:val="hr-HR"/>
        </w:rPr>
        <w:t>,</w:t>
      </w:r>
      <w:r w:rsidR="00A900BD" w:rsidRPr="001E7F7E">
        <w:rPr>
          <w:color w:val="000000" w:themeColor="text1"/>
          <w:sz w:val="24"/>
          <w:szCs w:val="24"/>
          <w:lang w:val="hr-HR"/>
        </w:rPr>
        <w:t>17/13 i 40/13-Pročišćeni tekst)</w:t>
      </w:r>
      <w:r w:rsidRPr="001E7F7E">
        <w:rPr>
          <w:color w:val="000000" w:themeColor="text1"/>
          <w:sz w:val="24"/>
          <w:szCs w:val="24"/>
          <w:lang w:val="hr-HR"/>
        </w:rPr>
        <w:t xml:space="preserve">  Gradsko vijeće Grada Ludbrega na</w:t>
      </w:r>
      <w:r w:rsidR="00D51B1F" w:rsidRPr="001E7F7E">
        <w:rPr>
          <w:color w:val="000000" w:themeColor="text1"/>
          <w:sz w:val="24"/>
          <w:szCs w:val="24"/>
          <w:lang w:val="hr-HR"/>
        </w:rPr>
        <w:t xml:space="preserve"> </w:t>
      </w:r>
      <w:r w:rsidR="00F768FC">
        <w:rPr>
          <w:color w:val="000000" w:themeColor="text1"/>
          <w:sz w:val="24"/>
          <w:szCs w:val="24"/>
          <w:lang w:val="hr-HR"/>
        </w:rPr>
        <w:t>4</w:t>
      </w:r>
      <w:r w:rsidR="0012383D" w:rsidRPr="001E7F7E">
        <w:rPr>
          <w:color w:val="000000" w:themeColor="text1"/>
          <w:sz w:val="24"/>
          <w:szCs w:val="24"/>
          <w:lang w:val="hr-HR"/>
        </w:rPr>
        <w:t xml:space="preserve">. </w:t>
      </w:r>
      <w:r w:rsidR="00D51B1F" w:rsidRPr="001E7F7E">
        <w:rPr>
          <w:color w:val="000000" w:themeColor="text1"/>
          <w:sz w:val="24"/>
          <w:szCs w:val="24"/>
          <w:lang w:val="hr-HR"/>
        </w:rPr>
        <w:t>s</w:t>
      </w:r>
      <w:r w:rsidRPr="001E7F7E">
        <w:rPr>
          <w:color w:val="000000" w:themeColor="text1"/>
          <w:sz w:val="24"/>
          <w:szCs w:val="24"/>
          <w:lang w:val="hr-HR"/>
        </w:rPr>
        <w:t>jednici održanoj dana</w:t>
      </w:r>
      <w:r w:rsidR="00194466">
        <w:rPr>
          <w:color w:val="000000" w:themeColor="text1"/>
          <w:sz w:val="24"/>
          <w:szCs w:val="24"/>
          <w:lang w:val="hr-HR"/>
        </w:rPr>
        <w:t xml:space="preserve"> 19.12.2017. </w:t>
      </w:r>
      <w:r w:rsidRPr="001E7F7E">
        <w:rPr>
          <w:color w:val="000000" w:themeColor="text1"/>
          <w:sz w:val="24"/>
          <w:szCs w:val="24"/>
          <w:lang w:val="hr-HR"/>
        </w:rPr>
        <w:t>godine donijelo je</w:t>
      </w:r>
    </w:p>
    <w:p w:rsidR="004D5B3D" w:rsidRPr="00C70718" w:rsidRDefault="004D5B3D">
      <w:pPr>
        <w:ind w:left="567"/>
        <w:jc w:val="both"/>
        <w:rPr>
          <w:sz w:val="24"/>
          <w:szCs w:val="24"/>
          <w:lang w:val="hr-HR"/>
        </w:rPr>
      </w:pPr>
    </w:p>
    <w:p w:rsidR="00CC1721" w:rsidRPr="00C70718" w:rsidRDefault="00CC1721" w:rsidP="00F26900">
      <w:pPr>
        <w:ind w:left="567"/>
        <w:jc w:val="center"/>
        <w:rPr>
          <w:b/>
          <w:sz w:val="24"/>
          <w:szCs w:val="24"/>
          <w:lang w:val="hr-HR"/>
        </w:rPr>
      </w:pPr>
      <w:r w:rsidRPr="00C70718">
        <w:rPr>
          <w:b/>
          <w:sz w:val="24"/>
          <w:szCs w:val="24"/>
          <w:lang w:val="hr-HR"/>
        </w:rPr>
        <w:t>O D L U K U</w:t>
      </w:r>
    </w:p>
    <w:p w:rsidR="00CC1721" w:rsidRDefault="000D30DF" w:rsidP="000E75CA">
      <w:pPr>
        <w:ind w:left="567"/>
        <w:jc w:val="center"/>
        <w:rPr>
          <w:b/>
          <w:sz w:val="24"/>
          <w:szCs w:val="24"/>
          <w:lang w:val="hr-HR"/>
        </w:rPr>
      </w:pPr>
      <w:r>
        <w:rPr>
          <w:b/>
          <w:sz w:val="24"/>
          <w:szCs w:val="24"/>
          <w:lang w:val="hr-HR"/>
        </w:rPr>
        <w:t>o</w:t>
      </w:r>
      <w:r w:rsidR="000E75CA" w:rsidRPr="00C70718">
        <w:rPr>
          <w:b/>
          <w:sz w:val="24"/>
          <w:szCs w:val="24"/>
          <w:lang w:val="hr-HR"/>
        </w:rPr>
        <w:t xml:space="preserve">  porezima</w:t>
      </w:r>
      <w:r w:rsidR="00A82A50">
        <w:rPr>
          <w:b/>
          <w:sz w:val="24"/>
          <w:szCs w:val="24"/>
          <w:lang w:val="hr-HR"/>
        </w:rPr>
        <w:t xml:space="preserve"> Grada Ludbrega</w:t>
      </w:r>
    </w:p>
    <w:p w:rsidR="004D5B3D" w:rsidRDefault="004D5B3D" w:rsidP="000E75CA">
      <w:pPr>
        <w:ind w:left="567"/>
        <w:jc w:val="center"/>
        <w:rPr>
          <w:b/>
          <w:sz w:val="24"/>
          <w:szCs w:val="24"/>
          <w:lang w:val="hr-HR"/>
        </w:rPr>
      </w:pPr>
    </w:p>
    <w:p w:rsidR="00E818CB" w:rsidRPr="004D5B3D" w:rsidRDefault="00CD338B" w:rsidP="00614486">
      <w:pPr>
        <w:rPr>
          <w:b/>
          <w:sz w:val="24"/>
          <w:szCs w:val="24"/>
          <w:lang w:val="hr-HR"/>
        </w:rPr>
      </w:pPr>
      <w:proofErr w:type="spellStart"/>
      <w:r w:rsidRPr="004D5B3D">
        <w:rPr>
          <w:b/>
          <w:sz w:val="24"/>
          <w:szCs w:val="24"/>
          <w:lang w:val="hr-HR"/>
        </w:rPr>
        <w:t>I.OPĆA</w:t>
      </w:r>
      <w:proofErr w:type="spellEnd"/>
      <w:r w:rsidRPr="004D5B3D">
        <w:rPr>
          <w:b/>
          <w:sz w:val="24"/>
          <w:szCs w:val="24"/>
          <w:lang w:val="hr-HR"/>
        </w:rPr>
        <w:t xml:space="preserve"> ODREDBA</w:t>
      </w:r>
    </w:p>
    <w:p w:rsidR="00F26900" w:rsidRDefault="00F26900" w:rsidP="000E75CA">
      <w:pPr>
        <w:jc w:val="center"/>
        <w:rPr>
          <w:sz w:val="24"/>
          <w:szCs w:val="24"/>
          <w:lang w:val="hr-HR"/>
        </w:rPr>
      </w:pPr>
      <w:r w:rsidRPr="00C70718">
        <w:rPr>
          <w:sz w:val="24"/>
          <w:szCs w:val="24"/>
          <w:lang w:val="hr-HR"/>
        </w:rPr>
        <w:t>Članak  1.</w:t>
      </w:r>
    </w:p>
    <w:p w:rsidR="004D5B3D" w:rsidRPr="00C70718" w:rsidRDefault="004D5B3D" w:rsidP="004D5B3D">
      <w:pPr>
        <w:jc w:val="both"/>
        <w:rPr>
          <w:sz w:val="24"/>
          <w:szCs w:val="24"/>
          <w:lang w:val="hr-HR"/>
        </w:rPr>
      </w:pPr>
    </w:p>
    <w:p w:rsidR="00CD338B" w:rsidRDefault="00CD338B" w:rsidP="004D5B3D">
      <w:pPr>
        <w:ind w:firstLine="720"/>
        <w:jc w:val="both"/>
        <w:rPr>
          <w:sz w:val="24"/>
          <w:szCs w:val="24"/>
          <w:lang w:val="hr-HR"/>
        </w:rPr>
      </w:pPr>
      <w:r>
        <w:rPr>
          <w:sz w:val="24"/>
          <w:szCs w:val="24"/>
          <w:lang w:val="hr-HR"/>
        </w:rPr>
        <w:t>Ovom se Odlukom utvrđuju vrste poreza,stope, visina te način obračuna i plaćanja gradskih poreza koji su vlastiti izvori prihoda Grada Ludbrega</w:t>
      </w:r>
    </w:p>
    <w:p w:rsidR="00CD338B" w:rsidRPr="004D5B3D" w:rsidRDefault="00CD338B" w:rsidP="00CD338B">
      <w:pPr>
        <w:rPr>
          <w:b/>
          <w:sz w:val="24"/>
          <w:szCs w:val="24"/>
          <w:lang w:val="hr-HR"/>
        </w:rPr>
      </w:pPr>
    </w:p>
    <w:p w:rsidR="00CD338B" w:rsidRPr="004D5B3D" w:rsidRDefault="00CD338B" w:rsidP="00CD338B">
      <w:pPr>
        <w:rPr>
          <w:b/>
          <w:sz w:val="24"/>
          <w:szCs w:val="24"/>
          <w:lang w:val="hr-HR"/>
        </w:rPr>
      </w:pPr>
      <w:proofErr w:type="spellStart"/>
      <w:r w:rsidRPr="004D5B3D">
        <w:rPr>
          <w:b/>
          <w:sz w:val="24"/>
          <w:szCs w:val="24"/>
          <w:lang w:val="hr-HR"/>
        </w:rPr>
        <w:t>II.VRST</w:t>
      </w:r>
      <w:r w:rsidR="004D5B3D">
        <w:rPr>
          <w:b/>
          <w:sz w:val="24"/>
          <w:szCs w:val="24"/>
          <w:lang w:val="hr-HR"/>
        </w:rPr>
        <w:t>E</w:t>
      </w:r>
      <w:proofErr w:type="spellEnd"/>
      <w:r w:rsidR="004D5B3D">
        <w:rPr>
          <w:b/>
          <w:sz w:val="24"/>
          <w:szCs w:val="24"/>
          <w:lang w:val="hr-HR"/>
        </w:rPr>
        <w:t xml:space="preserve"> </w:t>
      </w:r>
      <w:r w:rsidRPr="004D5B3D">
        <w:rPr>
          <w:b/>
          <w:sz w:val="24"/>
          <w:szCs w:val="24"/>
          <w:lang w:val="hr-HR"/>
        </w:rPr>
        <w:t xml:space="preserve"> POREZA</w:t>
      </w:r>
    </w:p>
    <w:p w:rsidR="00E818CB" w:rsidRDefault="00E818CB" w:rsidP="00D51B1F">
      <w:pPr>
        <w:jc w:val="center"/>
        <w:rPr>
          <w:sz w:val="24"/>
          <w:szCs w:val="24"/>
          <w:lang w:val="hr-HR"/>
        </w:rPr>
      </w:pPr>
      <w:r w:rsidRPr="00C70718">
        <w:rPr>
          <w:sz w:val="24"/>
          <w:szCs w:val="24"/>
          <w:lang w:val="hr-HR"/>
        </w:rPr>
        <w:t>Članak  2.</w:t>
      </w:r>
    </w:p>
    <w:p w:rsidR="00CD338B" w:rsidRDefault="00CD338B" w:rsidP="00CD338B">
      <w:pPr>
        <w:rPr>
          <w:sz w:val="24"/>
          <w:szCs w:val="24"/>
          <w:lang w:val="hr-HR"/>
        </w:rPr>
      </w:pPr>
    </w:p>
    <w:p w:rsidR="00CD338B" w:rsidRDefault="00CD338B" w:rsidP="00CD338B">
      <w:pPr>
        <w:rPr>
          <w:sz w:val="24"/>
          <w:szCs w:val="24"/>
          <w:lang w:val="hr-HR"/>
        </w:rPr>
      </w:pPr>
      <w:r>
        <w:rPr>
          <w:sz w:val="24"/>
          <w:szCs w:val="24"/>
          <w:lang w:val="hr-HR"/>
        </w:rPr>
        <w:t>Gradu Ludbregu pripadaju sljedeći  gradski porezi:</w:t>
      </w:r>
    </w:p>
    <w:p w:rsidR="00CD338B" w:rsidRDefault="00CD338B" w:rsidP="00CD338B">
      <w:pPr>
        <w:rPr>
          <w:sz w:val="24"/>
          <w:szCs w:val="24"/>
          <w:lang w:val="hr-HR"/>
        </w:rPr>
      </w:pPr>
    </w:p>
    <w:p w:rsidR="00CD338B" w:rsidRDefault="00D876C0" w:rsidP="00D876C0">
      <w:pPr>
        <w:pStyle w:val="Odlomakpopisa"/>
        <w:numPr>
          <w:ilvl w:val="0"/>
          <w:numId w:val="5"/>
        </w:numPr>
        <w:rPr>
          <w:sz w:val="24"/>
          <w:szCs w:val="24"/>
          <w:lang w:val="hr-HR"/>
        </w:rPr>
      </w:pPr>
      <w:r>
        <w:rPr>
          <w:sz w:val="24"/>
          <w:szCs w:val="24"/>
          <w:lang w:val="hr-HR"/>
        </w:rPr>
        <w:t>prirez porezu na dohodak</w:t>
      </w:r>
    </w:p>
    <w:p w:rsidR="00D876C0" w:rsidRDefault="00D876C0" w:rsidP="00D876C0">
      <w:pPr>
        <w:pStyle w:val="Odlomakpopisa"/>
        <w:numPr>
          <w:ilvl w:val="0"/>
          <w:numId w:val="5"/>
        </w:numPr>
        <w:rPr>
          <w:sz w:val="24"/>
          <w:szCs w:val="24"/>
          <w:lang w:val="hr-HR"/>
        </w:rPr>
      </w:pPr>
      <w:r>
        <w:rPr>
          <w:sz w:val="24"/>
          <w:szCs w:val="24"/>
          <w:lang w:val="hr-HR"/>
        </w:rPr>
        <w:t>porez na potrošnju</w:t>
      </w:r>
    </w:p>
    <w:p w:rsidR="00D876C0" w:rsidRDefault="00D876C0" w:rsidP="00D876C0">
      <w:pPr>
        <w:pStyle w:val="Odlomakpopisa"/>
        <w:numPr>
          <w:ilvl w:val="0"/>
          <w:numId w:val="5"/>
        </w:numPr>
        <w:rPr>
          <w:sz w:val="24"/>
          <w:szCs w:val="24"/>
          <w:lang w:val="hr-HR"/>
        </w:rPr>
      </w:pPr>
      <w:r>
        <w:rPr>
          <w:sz w:val="24"/>
          <w:szCs w:val="24"/>
          <w:lang w:val="hr-HR"/>
        </w:rPr>
        <w:t>porez na kuć</w:t>
      </w:r>
      <w:r w:rsidR="006504B2">
        <w:rPr>
          <w:sz w:val="24"/>
          <w:szCs w:val="24"/>
          <w:lang w:val="hr-HR"/>
        </w:rPr>
        <w:t>e</w:t>
      </w:r>
      <w:r>
        <w:rPr>
          <w:sz w:val="24"/>
          <w:szCs w:val="24"/>
          <w:lang w:val="hr-HR"/>
        </w:rPr>
        <w:t xml:space="preserve"> za odmor</w:t>
      </w:r>
    </w:p>
    <w:p w:rsidR="00D876C0" w:rsidRDefault="00D876C0" w:rsidP="00D876C0">
      <w:pPr>
        <w:pStyle w:val="Odlomakpopisa"/>
        <w:numPr>
          <w:ilvl w:val="0"/>
          <w:numId w:val="5"/>
        </w:numPr>
        <w:rPr>
          <w:sz w:val="24"/>
          <w:szCs w:val="24"/>
          <w:lang w:val="hr-HR"/>
        </w:rPr>
      </w:pPr>
      <w:r>
        <w:rPr>
          <w:sz w:val="24"/>
          <w:szCs w:val="24"/>
          <w:lang w:val="hr-HR"/>
        </w:rPr>
        <w:t>porez na korištenje javnih površina</w:t>
      </w:r>
    </w:p>
    <w:p w:rsidR="00992AF1" w:rsidRDefault="00992AF1" w:rsidP="00614486">
      <w:pPr>
        <w:jc w:val="center"/>
        <w:rPr>
          <w:sz w:val="24"/>
          <w:szCs w:val="24"/>
          <w:lang w:val="hr-HR"/>
        </w:rPr>
      </w:pPr>
    </w:p>
    <w:p w:rsidR="00A45A55" w:rsidRDefault="00A45A55" w:rsidP="00614486">
      <w:pPr>
        <w:jc w:val="center"/>
        <w:rPr>
          <w:sz w:val="24"/>
          <w:szCs w:val="24"/>
          <w:lang w:val="hr-HR"/>
        </w:rPr>
      </w:pPr>
      <w:r>
        <w:rPr>
          <w:sz w:val="24"/>
          <w:szCs w:val="24"/>
          <w:lang w:val="hr-HR"/>
        </w:rPr>
        <w:t>ODJELJAK 1.</w:t>
      </w:r>
    </w:p>
    <w:p w:rsidR="00A45A55" w:rsidRPr="00795B67" w:rsidRDefault="00A45A55" w:rsidP="00A45A55">
      <w:pPr>
        <w:ind w:left="360"/>
        <w:jc w:val="center"/>
        <w:rPr>
          <w:b/>
          <w:sz w:val="24"/>
          <w:szCs w:val="24"/>
          <w:lang w:val="hr-HR"/>
        </w:rPr>
      </w:pPr>
      <w:r w:rsidRPr="00795B67">
        <w:rPr>
          <w:b/>
          <w:sz w:val="24"/>
          <w:szCs w:val="24"/>
          <w:lang w:val="hr-HR"/>
        </w:rPr>
        <w:t>Prirez porezu na dohodak</w:t>
      </w:r>
    </w:p>
    <w:p w:rsidR="00614486" w:rsidRDefault="00614486" w:rsidP="00614486">
      <w:pPr>
        <w:jc w:val="center"/>
        <w:rPr>
          <w:sz w:val="24"/>
          <w:szCs w:val="24"/>
          <w:lang w:val="hr-HR"/>
        </w:rPr>
      </w:pPr>
    </w:p>
    <w:p w:rsidR="00614486" w:rsidRDefault="00BA1CD7" w:rsidP="00614486">
      <w:pPr>
        <w:jc w:val="center"/>
        <w:rPr>
          <w:sz w:val="24"/>
          <w:szCs w:val="24"/>
          <w:lang w:val="hr-HR"/>
        </w:rPr>
      </w:pPr>
      <w:r w:rsidRPr="00C70718">
        <w:rPr>
          <w:sz w:val="24"/>
          <w:szCs w:val="24"/>
          <w:lang w:val="hr-HR"/>
        </w:rPr>
        <w:t xml:space="preserve">Članak  </w:t>
      </w:r>
      <w:r>
        <w:rPr>
          <w:sz w:val="24"/>
          <w:szCs w:val="24"/>
          <w:lang w:val="hr-HR"/>
        </w:rPr>
        <w:t>3</w:t>
      </w:r>
      <w:r w:rsidR="00B70E27">
        <w:rPr>
          <w:sz w:val="24"/>
          <w:szCs w:val="24"/>
          <w:lang w:val="hr-HR"/>
        </w:rPr>
        <w:t>.</w:t>
      </w:r>
    </w:p>
    <w:p w:rsidR="00375FF6" w:rsidRDefault="004D5B3D" w:rsidP="00BA1CD7">
      <w:pPr>
        <w:jc w:val="center"/>
        <w:rPr>
          <w:sz w:val="24"/>
          <w:szCs w:val="24"/>
          <w:lang w:val="hr-HR"/>
        </w:rPr>
      </w:pPr>
      <w:r>
        <w:rPr>
          <w:sz w:val="24"/>
          <w:szCs w:val="24"/>
          <w:lang w:val="hr-HR"/>
        </w:rPr>
        <w:tab/>
      </w:r>
    </w:p>
    <w:p w:rsidR="00BA1CD7" w:rsidRDefault="00375FF6" w:rsidP="004D5B3D">
      <w:pPr>
        <w:ind w:firstLine="720"/>
        <w:jc w:val="both"/>
        <w:rPr>
          <w:sz w:val="24"/>
          <w:szCs w:val="24"/>
          <w:lang w:val="hr-HR"/>
        </w:rPr>
      </w:pPr>
      <w:r>
        <w:rPr>
          <w:sz w:val="24"/>
          <w:szCs w:val="24"/>
          <w:lang w:val="hr-HR"/>
        </w:rPr>
        <w:t>Obveznik prireza porezu na dohodak je fizička osoba koja ostvaruje dohodak u Republici</w:t>
      </w:r>
      <w:r w:rsidR="00A45A55">
        <w:rPr>
          <w:sz w:val="24"/>
          <w:szCs w:val="24"/>
          <w:lang w:val="hr-HR"/>
        </w:rPr>
        <w:t xml:space="preserve"> </w:t>
      </w:r>
      <w:r>
        <w:rPr>
          <w:sz w:val="24"/>
          <w:szCs w:val="24"/>
          <w:lang w:val="hr-HR"/>
        </w:rPr>
        <w:t>Hrvatskoj,a obveznik je poreza na dohodak prema Zakonu o porezu na dohodak</w:t>
      </w:r>
      <w:r w:rsidR="00BA1CD7" w:rsidRPr="00C70718">
        <w:rPr>
          <w:sz w:val="24"/>
          <w:szCs w:val="24"/>
          <w:lang w:val="hr-HR"/>
        </w:rPr>
        <w:t>.</w:t>
      </w:r>
    </w:p>
    <w:p w:rsidR="00902A74" w:rsidRDefault="00375FF6" w:rsidP="004D5B3D">
      <w:pPr>
        <w:ind w:firstLine="720"/>
        <w:jc w:val="both"/>
        <w:rPr>
          <w:sz w:val="24"/>
          <w:szCs w:val="24"/>
          <w:lang w:val="hr-HR"/>
        </w:rPr>
      </w:pPr>
      <w:r>
        <w:rPr>
          <w:sz w:val="24"/>
          <w:szCs w:val="24"/>
          <w:lang w:val="hr-HR"/>
        </w:rPr>
        <w:t>Prirez porezu na dohodak plaća se prema prebivalištu,odnosno uobičajenom boravištu obveznika.</w:t>
      </w:r>
    </w:p>
    <w:p w:rsidR="00E818CB" w:rsidRPr="00C70718" w:rsidRDefault="00E818CB" w:rsidP="00D51B1F">
      <w:pPr>
        <w:rPr>
          <w:sz w:val="24"/>
          <w:szCs w:val="24"/>
          <w:lang w:val="hr-HR"/>
        </w:rPr>
      </w:pPr>
    </w:p>
    <w:p w:rsidR="00A45A55" w:rsidRDefault="00A45A55" w:rsidP="00375FF6">
      <w:pPr>
        <w:jc w:val="center"/>
        <w:rPr>
          <w:sz w:val="24"/>
          <w:szCs w:val="24"/>
          <w:lang w:val="hr-HR"/>
        </w:rPr>
      </w:pPr>
    </w:p>
    <w:p w:rsidR="00614486" w:rsidRDefault="00614486" w:rsidP="00375FF6">
      <w:pPr>
        <w:jc w:val="center"/>
        <w:rPr>
          <w:sz w:val="24"/>
          <w:szCs w:val="24"/>
          <w:lang w:val="hr-HR"/>
        </w:rPr>
      </w:pPr>
    </w:p>
    <w:p w:rsidR="00375FF6" w:rsidRDefault="00375FF6" w:rsidP="00375FF6">
      <w:pPr>
        <w:jc w:val="center"/>
        <w:rPr>
          <w:sz w:val="24"/>
          <w:szCs w:val="24"/>
          <w:lang w:val="hr-HR"/>
        </w:rPr>
      </w:pPr>
      <w:r w:rsidRPr="00C70718">
        <w:rPr>
          <w:sz w:val="24"/>
          <w:szCs w:val="24"/>
          <w:lang w:val="hr-HR"/>
        </w:rPr>
        <w:t xml:space="preserve">Članak  </w:t>
      </w:r>
      <w:r>
        <w:rPr>
          <w:sz w:val="24"/>
          <w:szCs w:val="24"/>
          <w:lang w:val="hr-HR"/>
        </w:rPr>
        <w:t>4</w:t>
      </w:r>
      <w:r w:rsidR="00B70E27">
        <w:rPr>
          <w:sz w:val="24"/>
          <w:szCs w:val="24"/>
          <w:lang w:val="hr-HR"/>
        </w:rPr>
        <w:t>.</w:t>
      </w:r>
    </w:p>
    <w:p w:rsidR="00A45A55" w:rsidRDefault="00A45A55" w:rsidP="00375FF6">
      <w:pPr>
        <w:jc w:val="center"/>
        <w:rPr>
          <w:sz w:val="24"/>
          <w:szCs w:val="24"/>
          <w:lang w:val="hr-HR"/>
        </w:rPr>
      </w:pPr>
    </w:p>
    <w:p w:rsidR="00A45A55" w:rsidRDefault="00A45A55" w:rsidP="004D5B3D">
      <w:pPr>
        <w:ind w:firstLine="720"/>
        <w:jc w:val="both"/>
        <w:rPr>
          <w:sz w:val="24"/>
          <w:szCs w:val="24"/>
          <w:lang w:val="hr-HR"/>
        </w:rPr>
      </w:pPr>
      <w:r>
        <w:rPr>
          <w:sz w:val="24"/>
          <w:szCs w:val="24"/>
          <w:lang w:val="hr-HR"/>
        </w:rPr>
        <w:t>Prirez porezu na dohodak plaća se po stopi od  12%.</w:t>
      </w:r>
      <w:r w:rsidR="002E344F">
        <w:rPr>
          <w:sz w:val="24"/>
          <w:szCs w:val="24"/>
          <w:lang w:val="hr-HR"/>
        </w:rPr>
        <w:t xml:space="preserve"> </w:t>
      </w:r>
      <w:r>
        <w:rPr>
          <w:sz w:val="24"/>
          <w:szCs w:val="24"/>
          <w:lang w:val="hr-HR"/>
        </w:rPr>
        <w:t>Osnovica prireza porezu na dohodak je porez na dohodak.</w:t>
      </w:r>
    </w:p>
    <w:p w:rsidR="00A45A55" w:rsidRDefault="00A45A55" w:rsidP="00A45A55">
      <w:pPr>
        <w:rPr>
          <w:sz w:val="24"/>
          <w:szCs w:val="24"/>
          <w:lang w:val="hr-HR"/>
        </w:rPr>
      </w:pPr>
    </w:p>
    <w:p w:rsidR="00A45A55" w:rsidRDefault="00A45A55" w:rsidP="00A45A55">
      <w:pPr>
        <w:jc w:val="center"/>
        <w:rPr>
          <w:sz w:val="24"/>
          <w:szCs w:val="24"/>
          <w:lang w:val="hr-HR"/>
        </w:rPr>
      </w:pPr>
      <w:r>
        <w:rPr>
          <w:sz w:val="24"/>
          <w:szCs w:val="24"/>
          <w:lang w:val="hr-HR"/>
        </w:rPr>
        <w:t>ODJELJAK 2.</w:t>
      </w:r>
    </w:p>
    <w:p w:rsidR="00A45A55" w:rsidRDefault="00A45A55" w:rsidP="00A45A55">
      <w:pPr>
        <w:ind w:left="360"/>
        <w:jc w:val="center"/>
        <w:rPr>
          <w:sz w:val="24"/>
          <w:szCs w:val="24"/>
          <w:lang w:val="hr-HR"/>
        </w:rPr>
      </w:pPr>
    </w:p>
    <w:p w:rsidR="00A45A55" w:rsidRPr="00795B67" w:rsidRDefault="00A45A55" w:rsidP="00A45A55">
      <w:pPr>
        <w:ind w:left="360"/>
        <w:jc w:val="center"/>
        <w:rPr>
          <w:b/>
          <w:sz w:val="24"/>
          <w:szCs w:val="24"/>
          <w:lang w:val="hr-HR"/>
        </w:rPr>
      </w:pPr>
      <w:r w:rsidRPr="00795B67">
        <w:rPr>
          <w:b/>
          <w:sz w:val="24"/>
          <w:szCs w:val="24"/>
          <w:lang w:val="hr-HR"/>
        </w:rPr>
        <w:t>Porez na potrošnju</w:t>
      </w:r>
    </w:p>
    <w:p w:rsidR="00375FF6" w:rsidRDefault="00375FF6" w:rsidP="00375FF6">
      <w:pPr>
        <w:jc w:val="center"/>
        <w:rPr>
          <w:sz w:val="24"/>
          <w:szCs w:val="24"/>
          <w:lang w:val="hr-HR"/>
        </w:rPr>
      </w:pPr>
    </w:p>
    <w:p w:rsidR="00A45A55" w:rsidRDefault="00A45A55" w:rsidP="00A45A55">
      <w:pPr>
        <w:jc w:val="center"/>
        <w:rPr>
          <w:sz w:val="24"/>
          <w:szCs w:val="24"/>
          <w:lang w:val="hr-HR"/>
        </w:rPr>
      </w:pPr>
      <w:r w:rsidRPr="00C70718">
        <w:rPr>
          <w:sz w:val="24"/>
          <w:szCs w:val="24"/>
          <w:lang w:val="hr-HR"/>
        </w:rPr>
        <w:t xml:space="preserve">Članak  </w:t>
      </w:r>
      <w:r>
        <w:rPr>
          <w:sz w:val="24"/>
          <w:szCs w:val="24"/>
          <w:lang w:val="hr-HR"/>
        </w:rPr>
        <w:t>5</w:t>
      </w:r>
      <w:r w:rsidR="00B70E27">
        <w:rPr>
          <w:sz w:val="24"/>
          <w:szCs w:val="24"/>
          <w:lang w:val="hr-HR"/>
        </w:rPr>
        <w:t>.</w:t>
      </w:r>
    </w:p>
    <w:p w:rsidR="00375FF6" w:rsidRDefault="00375FF6" w:rsidP="00375FF6">
      <w:pPr>
        <w:jc w:val="center"/>
        <w:rPr>
          <w:sz w:val="24"/>
          <w:szCs w:val="24"/>
          <w:lang w:val="hr-HR"/>
        </w:rPr>
      </w:pPr>
    </w:p>
    <w:p w:rsidR="00375FF6" w:rsidRDefault="00B70E27" w:rsidP="004D5B3D">
      <w:pPr>
        <w:ind w:firstLine="720"/>
        <w:jc w:val="both"/>
        <w:rPr>
          <w:sz w:val="24"/>
          <w:szCs w:val="24"/>
          <w:lang w:val="hr-HR"/>
        </w:rPr>
      </w:pPr>
      <w:r>
        <w:rPr>
          <w:sz w:val="24"/>
          <w:szCs w:val="24"/>
          <w:lang w:val="hr-HR"/>
        </w:rPr>
        <w:t>Porez na potrošnju plaća se na potrošnju alkoholnih pića (vinjak,rakiju i žestoka pića),prirodnih vina,specijaliziranih vina,piva i bezalkoholnih pića u ugostiteljskim objektima.</w:t>
      </w:r>
    </w:p>
    <w:p w:rsidR="00375FF6" w:rsidRDefault="00375FF6" w:rsidP="00375FF6">
      <w:pPr>
        <w:jc w:val="center"/>
        <w:rPr>
          <w:sz w:val="24"/>
          <w:szCs w:val="24"/>
          <w:lang w:val="hr-HR"/>
        </w:rPr>
      </w:pPr>
    </w:p>
    <w:p w:rsidR="00B70E27" w:rsidRDefault="00B70E27" w:rsidP="00B70E27">
      <w:pPr>
        <w:jc w:val="center"/>
        <w:rPr>
          <w:sz w:val="24"/>
          <w:szCs w:val="24"/>
          <w:lang w:val="hr-HR"/>
        </w:rPr>
      </w:pPr>
      <w:r w:rsidRPr="00C70718">
        <w:rPr>
          <w:sz w:val="24"/>
          <w:szCs w:val="24"/>
          <w:lang w:val="hr-HR"/>
        </w:rPr>
        <w:t xml:space="preserve">Članak  </w:t>
      </w:r>
      <w:r>
        <w:rPr>
          <w:sz w:val="24"/>
          <w:szCs w:val="24"/>
          <w:lang w:val="hr-HR"/>
        </w:rPr>
        <w:t>6.</w:t>
      </w:r>
    </w:p>
    <w:p w:rsidR="00B70E27" w:rsidRDefault="00B70E27" w:rsidP="00BF7788">
      <w:pPr>
        <w:rPr>
          <w:sz w:val="24"/>
          <w:szCs w:val="24"/>
          <w:lang w:val="hr-HR"/>
        </w:rPr>
      </w:pPr>
    </w:p>
    <w:p w:rsidR="00BF7788" w:rsidRDefault="00BF7788" w:rsidP="004D5B3D">
      <w:pPr>
        <w:pStyle w:val="Odlomakpopisa"/>
        <w:numPr>
          <w:ilvl w:val="0"/>
          <w:numId w:val="8"/>
        </w:numPr>
        <w:jc w:val="both"/>
        <w:rPr>
          <w:sz w:val="24"/>
          <w:szCs w:val="24"/>
          <w:lang w:val="hr-HR"/>
        </w:rPr>
      </w:pPr>
      <w:r>
        <w:rPr>
          <w:sz w:val="24"/>
          <w:szCs w:val="24"/>
          <w:lang w:val="hr-HR"/>
        </w:rPr>
        <w:t>Obveznik poreza na potrošnju je pravna i fizička osoba koja pruža ugostiteljske usluge</w:t>
      </w:r>
    </w:p>
    <w:p w:rsidR="00BF7788" w:rsidRDefault="00BF7788" w:rsidP="004D5B3D">
      <w:pPr>
        <w:pStyle w:val="Odlomakpopisa"/>
        <w:numPr>
          <w:ilvl w:val="0"/>
          <w:numId w:val="8"/>
        </w:numPr>
        <w:jc w:val="both"/>
        <w:rPr>
          <w:sz w:val="24"/>
          <w:szCs w:val="24"/>
          <w:lang w:val="hr-HR"/>
        </w:rPr>
      </w:pPr>
      <w:r>
        <w:rPr>
          <w:sz w:val="24"/>
          <w:szCs w:val="24"/>
          <w:lang w:val="hr-HR"/>
        </w:rPr>
        <w:t>Osnovicu poreza na potrošnju čini prodajna cijena pića koja se proda u ugostiteljskim objektima.</w:t>
      </w:r>
    </w:p>
    <w:p w:rsidR="00BF7788" w:rsidRDefault="00BF7788" w:rsidP="004D5B3D">
      <w:pPr>
        <w:pStyle w:val="Odlomakpopisa"/>
        <w:numPr>
          <w:ilvl w:val="0"/>
          <w:numId w:val="8"/>
        </w:numPr>
        <w:jc w:val="both"/>
        <w:rPr>
          <w:sz w:val="24"/>
          <w:szCs w:val="24"/>
          <w:lang w:val="hr-HR"/>
        </w:rPr>
      </w:pPr>
      <w:r>
        <w:rPr>
          <w:sz w:val="24"/>
          <w:szCs w:val="24"/>
          <w:lang w:val="hr-HR"/>
        </w:rPr>
        <w:t>Obračunsko razdoblje poreza na potrošnju je od prvog do posljednjeg dana u mjesecu</w:t>
      </w:r>
    </w:p>
    <w:p w:rsidR="00BF7788" w:rsidRDefault="00BF7788" w:rsidP="004D5B3D">
      <w:pPr>
        <w:pStyle w:val="Odlomakpopisa"/>
        <w:numPr>
          <w:ilvl w:val="0"/>
          <w:numId w:val="8"/>
        </w:numPr>
        <w:jc w:val="both"/>
        <w:rPr>
          <w:sz w:val="24"/>
          <w:szCs w:val="24"/>
          <w:lang w:val="hr-HR"/>
        </w:rPr>
      </w:pPr>
      <w:r>
        <w:rPr>
          <w:sz w:val="24"/>
          <w:szCs w:val="24"/>
          <w:lang w:val="hr-HR"/>
        </w:rPr>
        <w:t>Utvrđenu obvezu poreza na potrošnju za obračunsko razdoblje iz stavka 3. ovog članka porezni obveznik iskazuje na Obrascu PP-MI-PO i predaje ga do 20. dana u mjesecu za prethodni mjesec. Utvrđenu obvezu porezni obveznik dužan je platiti do posljednjeg dana u mjesecu za prethodni mjesec.</w:t>
      </w:r>
    </w:p>
    <w:p w:rsidR="00B952CF" w:rsidRPr="00BF7788" w:rsidRDefault="00B952CF" w:rsidP="00B952CF">
      <w:pPr>
        <w:pStyle w:val="Odlomakpopisa"/>
        <w:rPr>
          <w:sz w:val="24"/>
          <w:szCs w:val="24"/>
          <w:lang w:val="hr-HR"/>
        </w:rPr>
      </w:pPr>
    </w:p>
    <w:p w:rsidR="00B952CF" w:rsidRDefault="00B952CF" w:rsidP="00B952CF">
      <w:pPr>
        <w:jc w:val="center"/>
        <w:rPr>
          <w:sz w:val="24"/>
          <w:szCs w:val="24"/>
          <w:lang w:val="hr-HR"/>
        </w:rPr>
      </w:pPr>
      <w:r w:rsidRPr="00C70718">
        <w:rPr>
          <w:sz w:val="24"/>
          <w:szCs w:val="24"/>
          <w:lang w:val="hr-HR"/>
        </w:rPr>
        <w:t xml:space="preserve">Članak  </w:t>
      </w:r>
      <w:r>
        <w:rPr>
          <w:sz w:val="24"/>
          <w:szCs w:val="24"/>
          <w:lang w:val="hr-HR"/>
        </w:rPr>
        <w:t>7.</w:t>
      </w:r>
    </w:p>
    <w:p w:rsidR="00B952CF" w:rsidRDefault="00B952CF" w:rsidP="00B952CF">
      <w:pPr>
        <w:rPr>
          <w:sz w:val="24"/>
          <w:szCs w:val="24"/>
          <w:lang w:val="hr-HR"/>
        </w:rPr>
      </w:pPr>
    </w:p>
    <w:p w:rsidR="00B952CF" w:rsidRDefault="00B952CF" w:rsidP="004D5B3D">
      <w:pPr>
        <w:ind w:firstLine="720"/>
        <w:rPr>
          <w:sz w:val="24"/>
          <w:szCs w:val="24"/>
          <w:lang w:val="hr-HR"/>
        </w:rPr>
      </w:pPr>
      <w:r>
        <w:rPr>
          <w:sz w:val="24"/>
          <w:szCs w:val="24"/>
          <w:lang w:val="hr-HR"/>
        </w:rPr>
        <w:t>Porez na potrošnju se plaća po stopi od 3%</w:t>
      </w:r>
    </w:p>
    <w:p w:rsidR="00375FF6" w:rsidRDefault="00375FF6" w:rsidP="00375FF6">
      <w:pPr>
        <w:jc w:val="center"/>
        <w:rPr>
          <w:sz w:val="24"/>
          <w:szCs w:val="24"/>
          <w:lang w:val="hr-HR"/>
        </w:rPr>
      </w:pPr>
    </w:p>
    <w:p w:rsidR="00375FF6" w:rsidRDefault="00375FF6" w:rsidP="00375FF6">
      <w:pPr>
        <w:jc w:val="center"/>
        <w:rPr>
          <w:sz w:val="24"/>
          <w:szCs w:val="24"/>
          <w:lang w:val="hr-HR"/>
        </w:rPr>
      </w:pPr>
    </w:p>
    <w:p w:rsidR="00B1303A" w:rsidRDefault="00B1303A" w:rsidP="00B1303A">
      <w:pPr>
        <w:jc w:val="center"/>
        <w:rPr>
          <w:sz w:val="24"/>
          <w:szCs w:val="24"/>
          <w:lang w:val="hr-HR"/>
        </w:rPr>
      </w:pPr>
      <w:r>
        <w:rPr>
          <w:sz w:val="24"/>
          <w:szCs w:val="24"/>
          <w:lang w:val="hr-HR"/>
        </w:rPr>
        <w:t>ODJELJAK 3</w:t>
      </w:r>
      <w:r w:rsidR="006511D7">
        <w:rPr>
          <w:sz w:val="24"/>
          <w:szCs w:val="24"/>
          <w:lang w:val="hr-HR"/>
        </w:rPr>
        <w:t>.</w:t>
      </w:r>
    </w:p>
    <w:p w:rsidR="00B1303A" w:rsidRDefault="00B1303A" w:rsidP="00B1303A">
      <w:pPr>
        <w:jc w:val="center"/>
        <w:rPr>
          <w:sz w:val="24"/>
          <w:szCs w:val="24"/>
          <w:lang w:val="hr-HR"/>
        </w:rPr>
      </w:pPr>
    </w:p>
    <w:p w:rsidR="00B1303A" w:rsidRPr="00795B67" w:rsidRDefault="00B1303A" w:rsidP="00B1303A">
      <w:pPr>
        <w:jc w:val="center"/>
        <w:rPr>
          <w:b/>
          <w:sz w:val="24"/>
          <w:szCs w:val="24"/>
          <w:lang w:val="hr-HR"/>
        </w:rPr>
      </w:pPr>
      <w:r w:rsidRPr="00795B67">
        <w:rPr>
          <w:b/>
          <w:sz w:val="24"/>
          <w:szCs w:val="24"/>
          <w:lang w:val="hr-HR"/>
        </w:rPr>
        <w:t>Porez na kuće za odmor.</w:t>
      </w:r>
    </w:p>
    <w:p w:rsidR="00375FF6" w:rsidRDefault="00375FF6" w:rsidP="00375FF6">
      <w:pPr>
        <w:jc w:val="center"/>
        <w:rPr>
          <w:sz w:val="24"/>
          <w:szCs w:val="24"/>
          <w:lang w:val="hr-HR"/>
        </w:rPr>
      </w:pPr>
    </w:p>
    <w:p w:rsidR="004D57C4" w:rsidRDefault="004D57C4" w:rsidP="004D57C4">
      <w:pPr>
        <w:jc w:val="center"/>
        <w:rPr>
          <w:sz w:val="24"/>
          <w:szCs w:val="24"/>
          <w:lang w:val="hr-HR"/>
        </w:rPr>
      </w:pPr>
      <w:r w:rsidRPr="00C70718">
        <w:rPr>
          <w:sz w:val="24"/>
          <w:szCs w:val="24"/>
          <w:lang w:val="hr-HR"/>
        </w:rPr>
        <w:t xml:space="preserve">Članak  </w:t>
      </w:r>
      <w:r>
        <w:rPr>
          <w:sz w:val="24"/>
          <w:szCs w:val="24"/>
          <w:lang w:val="hr-HR"/>
        </w:rPr>
        <w:t>8.</w:t>
      </w:r>
    </w:p>
    <w:p w:rsidR="00375FF6" w:rsidRDefault="00375FF6" w:rsidP="00375FF6">
      <w:pPr>
        <w:jc w:val="center"/>
        <w:rPr>
          <w:sz w:val="24"/>
          <w:szCs w:val="24"/>
          <w:lang w:val="hr-HR"/>
        </w:rPr>
      </w:pPr>
    </w:p>
    <w:p w:rsidR="00375FF6" w:rsidRDefault="004D57C4" w:rsidP="004D5B3D">
      <w:pPr>
        <w:ind w:firstLine="720"/>
        <w:jc w:val="both"/>
        <w:rPr>
          <w:sz w:val="24"/>
          <w:szCs w:val="24"/>
          <w:lang w:val="hr-HR"/>
        </w:rPr>
      </w:pPr>
      <w:r>
        <w:rPr>
          <w:sz w:val="24"/>
          <w:szCs w:val="24"/>
          <w:lang w:val="hr-HR"/>
        </w:rPr>
        <w:t>Porez na kuće za odmor plaćaju pravne i fizičke osobe koje su vlasnici kuća za odmor.</w:t>
      </w:r>
    </w:p>
    <w:p w:rsidR="00375FF6" w:rsidRDefault="00375FF6" w:rsidP="00375FF6">
      <w:pPr>
        <w:jc w:val="center"/>
        <w:rPr>
          <w:sz w:val="24"/>
          <w:szCs w:val="24"/>
          <w:lang w:val="hr-HR"/>
        </w:rPr>
      </w:pPr>
    </w:p>
    <w:p w:rsidR="00375FF6" w:rsidRDefault="00375FF6" w:rsidP="00375FF6">
      <w:pPr>
        <w:jc w:val="center"/>
        <w:rPr>
          <w:sz w:val="24"/>
          <w:szCs w:val="24"/>
          <w:lang w:val="hr-HR"/>
        </w:rPr>
      </w:pPr>
    </w:p>
    <w:p w:rsidR="00D43AC5" w:rsidRDefault="00D43AC5" w:rsidP="006511D7">
      <w:pPr>
        <w:jc w:val="center"/>
        <w:rPr>
          <w:sz w:val="24"/>
          <w:szCs w:val="24"/>
          <w:lang w:val="hr-HR"/>
        </w:rPr>
      </w:pPr>
    </w:p>
    <w:p w:rsidR="00D43AC5" w:rsidRDefault="00D43AC5" w:rsidP="006511D7">
      <w:pPr>
        <w:jc w:val="center"/>
        <w:rPr>
          <w:sz w:val="24"/>
          <w:szCs w:val="24"/>
          <w:lang w:val="hr-HR"/>
        </w:rPr>
      </w:pPr>
    </w:p>
    <w:p w:rsidR="00D43AC5" w:rsidRDefault="00D43AC5" w:rsidP="006511D7">
      <w:pPr>
        <w:jc w:val="center"/>
        <w:rPr>
          <w:sz w:val="24"/>
          <w:szCs w:val="24"/>
          <w:lang w:val="hr-HR"/>
        </w:rPr>
      </w:pPr>
    </w:p>
    <w:p w:rsidR="00D43AC5" w:rsidRDefault="00D43AC5" w:rsidP="006511D7">
      <w:pPr>
        <w:jc w:val="center"/>
        <w:rPr>
          <w:sz w:val="24"/>
          <w:szCs w:val="24"/>
          <w:lang w:val="hr-HR"/>
        </w:rPr>
      </w:pPr>
    </w:p>
    <w:p w:rsidR="006511D7" w:rsidRDefault="006511D7" w:rsidP="006511D7">
      <w:pPr>
        <w:jc w:val="center"/>
        <w:rPr>
          <w:sz w:val="24"/>
          <w:szCs w:val="24"/>
          <w:lang w:val="hr-HR"/>
        </w:rPr>
      </w:pPr>
      <w:r w:rsidRPr="00C70718">
        <w:rPr>
          <w:sz w:val="24"/>
          <w:szCs w:val="24"/>
          <w:lang w:val="hr-HR"/>
        </w:rPr>
        <w:t xml:space="preserve">Članak  </w:t>
      </w:r>
      <w:r>
        <w:rPr>
          <w:sz w:val="24"/>
          <w:szCs w:val="24"/>
          <w:lang w:val="hr-HR"/>
        </w:rPr>
        <w:t>9.</w:t>
      </w:r>
    </w:p>
    <w:p w:rsidR="00375FF6" w:rsidRDefault="00375FF6" w:rsidP="00375FF6">
      <w:pPr>
        <w:jc w:val="center"/>
        <w:rPr>
          <w:sz w:val="24"/>
          <w:szCs w:val="24"/>
          <w:lang w:val="hr-HR"/>
        </w:rPr>
      </w:pPr>
    </w:p>
    <w:p w:rsidR="00375FF6" w:rsidRDefault="00375FF6" w:rsidP="00021207">
      <w:pPr>
        <w:jc w:val="both"/>
        <w:rPr>
          <w:sz w:val="24"/>
          <w:szCs w:val="24"/>
          <w:lang w:val="hr-HR"/>
        </w:rPr>
      </w:pPr>
    </w:p>
    <w:p w:rsidR="00375FF6" w:rsidRDefault="006511D7" w:rsidP="004D5B3D">
      <w:pPr>
        <w:ind w:firstLine="720"/>
        <w:jc w:val="both"/>
        <w:rPr>
          <w:sz w:val="24"/>
          <w:szCs w:val="24"/>
          <w:lang w:val="hr-HR"/>
        </w:rPr>
      </w:pPr>
      <w:r>
        <w:rPr>
          <w:sz w:val="24"/>
          <w:szCs w:val="24"/>
          <w:lang w:val="hr-HR"/>
        </w:rPr>
        <w:t>Porez na kuće za odmor iznosi 10,00 kuna</w:t>
      </w:r>
      <w:r w:rsidR="002D2D89">
        <w:rPr>
          <w:sz w:val="24"/>
          <w:szCs w:val="24"/>
          <w:lang w:val="hr-HR"/>
        </w:rPr>
        <w:t xml:space="preserve"> godišnje</w:t>
      </w:r>
      <w:r>
        <w:rPr>
          <w:sz w:val="24"/>
          <w:szCs w:val="24"/>
          <w:lang w:val="hr-HR"/>
        </w:rPr>
        <w:t xml:space="preserve"> po jednom četvornom metru korisne površine kuće za odmor.</w:t>
      </w:r>
    </w:p>
    <w:p w:rsidR="006511D7" w:rsidRDefault="006511D7" w:rsidP="00375FF6">
      <w:pPr>
        <w:jc w:val="center"/>
        <w:rPr>
          <w:sz w:val="24"/>
          <w:szCs w:val="24"/>
          <w:lang w:val="hr-HR"/>
        </w:rPr>
      </w:pPr>
    </w:p>
    <w:p w:rsidR="006511D7" w:rsidRDefault="006511D7" w:rsidP="006511D7">
      <w:pPr>
        <w:jc w:val="center"/>
        <w:rPr>
          <w:sz w:val="24"/>
          <w:szCs w:val="24"/>
          <w:lang w:val="hr-HR"/>
        </w:rPr>
      </w:pPr>
      <w:r w:rsidRPr="00C70718">
        <w:rPr>
          <w:sz w:val="24"/>
          <w:szCs w:val="24"/>
          <w:lang w:val="hr-HR"/>
        </w:rPr>
        <w:t xml:space="preserve">Članak  </w:t>
      </w:r>
      <w:r>
        <w:rPr>
          <w:sz w:val="24"/>
          <w:szCs w:val="24"/>
          <w:lang w:val="hr-HR"/>
        </w:rPr>
        <w:t>10.</w:t>
      </w:r>
    </w:p>
    <w:p w:rsidR="006511D7" w:rsidRDefault="006511D7" w:rsidP="00375FF6">
      <w:pPr>
        <w:jc w:val="center"/>
        <w:rPr>
          <w:sz w:val="24"/>
          <w:szCs w:val="24"/>
          <w:lang w:val="hr-HR"/>
        </w:rPr>
      </w:pPr>
    </w:p>
    <w:p w:rsidR="00375FF6" w:rsidRDefault="006511D7" w:rsidP="004D5B3D">
      <w:pPr>
        <w:ind w:firstLine="720"/>
        <w:jc w:val="both"/>
        <w:rPr>
          <w:sz w:val="24"/>
          <w:szCs w:val="24"/>
          <w:lang w:val="hr-HR"/>
        </w:rPr>
      </w:pPr>
      <w:r>
        <w:rPr>
          <w:sz w:val="24"/>
          <w:szCs w:val="24"/>
          <w:lang w:val="hr-HR"/>
        </w:rPr>
        <w:t>Porez na kuće za odmor ne plaća se na kuće za odmor koje se ne mogu koristiti zbog ratnih razaranja i prirodnih nepogoda (poplava,požar,potres) te starosti i trošnosti.</w:t>
      </w:r>
    </w:p>
    <w:p w:rsidR="006511D7" w:rsidRDefault="006511D7" w:rsidP="004D5B3D">
      <w:pPr>
        <w:jc w:val="both"/>
        <w:rPr>
          <w:sz w:val="24"/>
          <w:szCs w:val="24"/>
          <w:lang w:val="hr-HR"/>
        </w:rPr>
      </w:pPr>
    </w:p>
    <w:p w:rsidR="006511D7" w:rsidRDefault="006511D7" w:rsidP="006511D7">
      <w:pPr>
        <w:rPr>
          <w:sz w:val="24"/>
          <w:szCs w:val="24"/>
          <w:lang w:val="hr-HR"/>
        </w:rPr>
      </w:pPr>
    </w:p>
    <w:p w:rsidR="006511D7" w:rsidRDefault="006511D7" w:rsidP="006511D7">
      <w:pPr>
        <w:tabs>
          <w:tab w:val="left" w:pos="3735"/>
        </w:tabs>
        <w:jc w:val="center"/>
        <w:rPr>
          <w:sz w:val="24"/>
          <w:szCs w:val="24"/>
          <w:lang w:val="hr-HR"/>
        </w:rPr>
      </w:pPr>
    </w:p>
    <w:p w:rsidR="006511D7" w:rsidRDefault="006511D7" w:rsidP="006511D7">
      <w:pPr>
        <w:jc w:val="center"/>
        <w:rPr>
          <w:sz w:val="24"/>
          <w:szCs w:val="24"/>
          <w:lang w:val="hr-HR"/>
        </w:rPr>
      </w:pPr>
      <w:r>
        <w:rPr>
          <w:sz w:val="24"/>
          <w:szCs w:val="24"/>
          <w:lang w:val="hr-HR"/>
        </w:rPr>
        <w:t>ODJELJAK 4.</w:t>
      </w:r>
    </w:p>
    <w:p w:rsidR="006511D7" w:rsidRDefault="006511D7" w:rsidP="006511D7">
      <w:pPr>
        <w:jc w:val="center"/>
        <w:rPr>
          <w:sz w:val="24"/>
          <w:szCs w:val="24"/>
          <w:lang w:val="hr-HR"/>
        </w:rPr>
      </w:pPr>
    </w:p>
    <w:p w:rsidR="006511D7" w:rsidRPr="00795B67" w:rsidRDefault="006511D7" w:rsidP="006511D7">
      <w:pPr>
        <w:jc w:val="center"/>
        <w:rPr>
          <w:b/>
          <w:sz w:val="24"/>
          <w:szCs w:val="24"/>
          <w:lang w:val="hr-HR"/>
        </w:rPr>
      </w:pPr>
      <w:r w:rsidRPr="00795B67">
        <w:rPr>
          <w:b/>
          <w:sz w:val="24"/>
          <w:szCs w:val="24"/>
          <w:lang w:val="hr-HR"/>
        </w:rPr>
        <w:t>Porez na korištenje javnih površina</w:t>
      </w:r>
    </w:p>
    <w:p w:rsidR="006511D7" w:rsidRPr="00795B67" w:rsidRDefault="006511D7" w:rsidP="006511D7">
      <w:pPr>
        <w:jc w:val="center"/>
        <w:rPr>
          <w:b/>
          <w:sz w:val="24"/>
          <w:szCs w:val="24"/>
          <w:lang w:val="hr-HR"/>
        </w:rPr>
      </w:pPr>
    </w:p>
    <w:p w:rsidR="006511D7" w:rsidRDefault="006511D7" w:rsidP="006511D7">
      <w:pPr>
        <w:jc w:val="center"/>
        <w:rPr>
          <w:sz w:val="24"/>
          <w:szCs w:val="24"/>
          <w:lang w:val="hr-HR"/>
        </w:rPr>
      </w:pPr>
      <w:r w:rsidRPr="00C70718">
        <w:rPr>
          <w:sz w:val="24"/>
          <w:szCs w:val="24"/>
          <w:lang w:val="hr-HR"/>
        </w:rPr>
        <w:t xml:space="preserve">Članak  </w:t>
      </w:r>
      <w:r>
        <w:rPr>
          <w:sz w:val="24"/>
          <w:szCs w:val="24"/>
          <w:lang w:val="hr-HR"/>
        </w:rPr>
        <w:t>11.</w:t>
      </w:r>
    </w:p>
    <w:p w:rsidR="006511D7" w:rsidRDefault="006511D7" w:rsidP="006511D7">
      <w:pPr>
        <w:jc w:val="center"/>
        <w:rPr>
          <w:sz w:val="24"/>
          <w:szCs w:val="24"/>
          <w:lang w:val="hr-HR"/>
        </w:rPr>
      </w:pPr>
    </w:p>
    <w:p w:rsidR="00117438" w:rsidRDefault="006511D7" w:rsidP="004D5B3D">
      <w:pPr>
        <w:ind w:firstLine="720"/>
        <w:jc w:val="both"/>
        <w:rPr>
          <w:sz w:val="24"/>
          <w:szCs w:val="24"/>
          <w:lang w:val="hr-HR"/>
        </w:rPr>
      </w:pPr>
      <w:r>
        <w:rPr>
          <w:sz w:val="24"/>
          <w:szCs w:val="24"/>
          <w:lang w:val="hr-HR"/>
        </w:rPr>
        <w:t>Porez na korištenje javnih površina plaćaju pravne i fizičke osobe koje koriste</w:t>
      </w:r>
      <w:r w:rsidR="00D935B8">
        <w:rPr>
          <w:sz w:val="24"/>
          <w:szCs w:val="24"/>
          <w:lang w:val="hr-HR"/>
        </w:rPr>
        <w:t xml:space="preserve"> javne površine kojoj je nadležni Odsjek jedinstvenog upravnog odjela Grada Ludbrega odobrio zapremanje javne površine ispred zgrada  i korištenje slobodnih površina za privremenu upotrebu.</w:t>
      </w:r>
    </w:p>
    <w:p w:rsidR="00D935B8" w:rsidRDefault="00D935B8" w:rsidP="004D5B3D">
      <w:pPr>
        <w:ind w:firstLine="720"/>
        <w:jc w:val="both"/>
        <w:rPr>
          <w:sz w:val="24"/>
          <w:szCs w:val="24"/>
          <w:lang w:val="hr-HR"/>
        </w:rPr>
      </w:pPr>
      <w:r>
        <w:rPr>
          <w:sz w:val="24"/>
          <w:szCs w:val="24"/>
          <w:lang w:val="hr-HR"/>
        </w:rPr>
        <w:t>Porez iz stavka 1.ovog članka plaća se u roku 15.dana od prijema rješenja o odobrenju korištenja javne površine.</w:t>
      </w:r>
    </w:p>
    <w:p w:rsidR="00117438" w:rsidRDefault="00117438" w:rsidP="00117438">
      <w:pPr>
        <w:jc w:val="center"/>
        <w:rPr>
          <w:sz w:val="24"/>
          <w:szCs w:val="24"/>
          <w:lang w:val="hr-HR"/>
        </w:rPr>
      </w:pPr>
    </w:p>
    <w:p w:rsidR="00117438" w:rsidRDefault="00117438" w:rsidP="00117438">
      <w:pPr>
        <w:jc w:val="center"/>
        <w:rPr>
          <w:sz w:val="24"/>
          <w:szCs w:val="24"/>
          <w:lang w:val="hr-HR"/>
        </w:rPr>
      </w:pPr>
      <w:r w:rsidRPr="00C70718">
        <w:rPr>
          <w:sz w:val="24"/>
          <w:szCs w:val="24"/>
          <w:lang w:val="hr-HR"/>
        </w:rPr>
        <w:t xml:space="preserve">Članak  </w:t>
      </w:r>
      <w:r>
        <w:rPr>
          <w:sz w:val="24"/>
          <w:szCs w:val="24"/>
          <w:lang w:val="hr-HR"/>
        </w:rPr>
        <w:t>12.</w:t>
      </w:r>
    </w:p>
    <w:p w:rsidR="00C46252" w:rsidRDefault="00C46252" w:rsidP="00117438">
      <w:pPr>
        <w:jc w:val="center"/>
        <w:rPr>
          <w:sz w:val="24"/>
          <w:szCs w:val="24"/>
          <w:lang w:val="hr-HR"/>
        </w:rPr>
      </w:pPr>
    </w:p>
    <w:p w:rsidR="00D935B8" w:rsidRDefault="00D935B8" w:rsidP="004D5B3D">
      <w:pPr>
        <w:ind w:firstLine="720"/>
        <w:jc w:val="both"/>
        <w:rPr>
          <w:sz w:val="24"/>
          <w:szCs w:val="24"/>
          <w:lang w:val="hr-HR"/>
        </w:rPr>
      </w:pPr>
      <w:r>
        <w:rPr>
          <w:sz w:val="24"/>
          <w:szCs w:val="24"/>
          <w:lang w:val="hr-HR"/>
        </w:rPr>
        <w:t>Za zapremanje javnih površina ispred zgrada,te za korištenje slobodnih javnih površina za privremenu upotrebu porez se obračunava dnevno za svaki metar četvorni prostora koji se koristi za zauzimanje terasa ili otvorenih prostora za ugostiteljske i druge djelatnosti i to:</w:t>
      </w:r>
    </w:p>
    <w:p w:rsidR="00D935B8" w:rsidRDefault="00D935B8" w:rsidP="00D935B8">
      <w:pPr>
        <w:rPr>
          <w:sz w:val="24"/>
          <w:szCs w:val="24"/>
          <w:lang w:val="hr-HR"/>
        </w:rPr>
      </w:pPr>
      <w:r>
        <w:rPr>
          <w:sz w:val="24"/>
          <w:szCs w:val="24"/>
          <w:lang w:val="hr-HR"/>
        </w:rPr>
        <w:tab/>
      </w:r>
    </w:p>
    <w:p w:rsidR="00D935B8" w:rsidRDefault="00D935B8" w:rsidP="00D935B8">
      <w:pPr>
        <w:rPr>
          <w:sz w:val="24"/>
          <w:szCs w:val="24"/>
          <w:lang w:val="hr-HR"/>
        </w:rPr>
      </w:pPr>
      <w:r>
        <w:rPr>
          <w:sz w:val="24"/>
          <w:szCs w:val="24"/>
          <w:lang w:val="hr-HR"/>
        </w:rPr>
        <w:tab/>
        <w:t xml:space="preserve">1.Na Trgu </w:t>
      </w:r>
      <w:proofErr w:type="spellStart"/>
      <w:r>
        <w:rPr>
          <w:sz w:val="24"/>
          <w:szCs w:val="24"/>
          <w:lang w:val="hr-HR"/>
        </w:rPr>
        <w:t>Sv.Trojstva</w:t>
      </w:r>
      <w:proofErr w:type="spellEnd"/>
      <w:r>
        <w:rPr>
          <w:sz w:val="24"/>
          <w:szCs w:val="24"/>
          <w:lang w:val="hr-HR"/>
        </w:rPr>
        <w:t xml:space="preserve"> i Trgu Slobode u Ludbregu              </w:t>
      </w:r>
      <w:r w:rsidR="00A15D30">
        <w:rPr>
          <w:sz w:val="24"/>
          <w:szCs w:val="24"/>
          <w:lang w:val="hr-HR"/>
        </w:rPr>
        <w:t>1,0</w:t>
      </w:r>
      <w:r w:rsidR="0018722E">
        <w:rPr>
          <w:sz w:val="24"/>
          <w:szCs w:val="24"/>
          <w:lang w:val="hr-HR"/>
        </w:rPr>
        <w:t>0</w:t>
      </w:r>
      <w:r>
        <w:rPr>
          <w:sz w:val="24"/>
          <w:szCs w:val="24"/>
          <w:lang w:val="hr-HR"/>
        </w:rPr>
        <w:t xml:space="preserve"> kn</w:t>
      </w:r>
    </w:p>
    <w:p w:rsidR="00D935B8" w:rsidRDefault="00D935B8" w:rsidP="00D935B8">
      <w:pPr>
        <w:rPr>
          <w:sz w:val="24"/>
          <w:szCs w:val="24"/>
          <w:lang w:val="hr-HR"/>
        </w:rPr>
      </w:pPr>
      <w:r>
        <w:rPr>
          <w:sz w:val="24"/>
          <w:szCs w:val="24"/>
          <w:lang w:val="hr-HR"/>
        </w:rPr>
        <w:tab/>
        <w:t>2.Na ostalim lokacijama na području Grada Ludbrega        0,</w:t>
      </w:r>
      <w:r w:rsidR="00DD0E9B">
        <w:rPr>
          <w:sz w:val="24"/>
          <w:szCs w:val="24"/>
          <w:lang w:val="hr-HR"/>
        </w:rPr>
        <w:t>7</w:t>
      </w:r>
      <w:r w:rsidR="00AA069C">
        <w:rPr>
          <w:sz w:val="24"/>
          <w:szCs w:val="24"/>
          <w:lang w:val="hr-HR"/>
        </w:rPr>
        <w:t xml:space="preserve"> </w:t>
      </w:r>
      <w:r w:rsidR="0018722E">
        <w:rPr>
          <w:sz w:val="24"/>
          <w:szCs w:val="24"/>
          <w:lang w:val="hr-HR"/>
        </w:rPr>
        <w:t>0</w:t>
      </w:r>
      <w:r>
        <w:rPr>
          <w:sz w:val="24"/>
          <w:szCs w:val="24"/>
          <w:lang w:val="hr-HR"/>
        </w:rPr>
        <w:t xml:space="preserve"> kn</w:t>
      </w:r>
    </w:p>
    <w:p w:rsidR="006511D7" w:rsidRDefault="006511D7" w:rsidP="006511D7">
      <w:pPr>
        <w:jc w:val="center"/>
        <w:rPr>
          <w:sz w:val="24"/>
          <w:szCs w:val="24"/>
          <w:lang w:val="hr-HR"/>
        </w:rPr>
      </w:pPr>
    </w:p>
    <w:p w:rsidR="00D43AC5" w:rsidRDefault="00D43AC5" w:rsidP="00C46252">
      <w:pPr>
        <w:jc w:val="center"/>
        <w:rPr>
          <w:sz w:val="24"/>
          <w:szCs w:val="24"/>
          <w:lang w:val="hr-HR"/>
        </w:rPr>
      </w:pPr>
    </w:p>
    <w:p w:rsidR="00D43AC5" w:rsidRDefault="00D43AC5" w:rsidP="00C46252">
      <w:pPr>
        <w:jc w:val="center"/>
        <w:rPr>
          <w:sz w:val="24"/>
          <w:szCs w:val="24"/>
          <w:lang w:val="hr-HR"/>
        </w:rPr>
      </w:pPr>
    </w:p>
    <w:p w:rsidR="00D43AC5" w:rsidRDefault="00D43AC5" w:rsidP="00C46252">
      <w:pPr>
        <w:jc w:val="center"/>
        <w:rPr>
          <w:sz w:val="24"/>
          <w:szCs w:val="24"/>
          <w:lang w:val="hr-HR"/>
        </w:rPr>
      </w:pPr>
    </w:p>
    <w:p w:rsidR="00D43AC5" w:rsidRDefault="00D43AC5" w:rsidP="00C46252">
      <w:pPr>
        <w:jc w:val="center"/>
        <w:rPr>
          <w:sz w:val="24"/>
          <w:szCs w:val="24"/>
          <w:lang w:val="hr-HR"/>
        </w:rPr>
      </w:pPr>
    </w:p>
    <w:p w:rsidR="00D43AC5" w:rsidRDefault="00D43AC5" w:rsidP="00C46252">
      <w:pPr>
        <w:jc w:val="center"/>
        <w:rPr>
          <w:sz w:val="24"/>
          <w:szCs w:val="24"/>
          <w:lang w:val="hr-HR"/>
        </w:rPr>
      </w:pPr>
    </w:p>
    <w:p w:rsidR="00D43AC5" w:rsidRDefault="00D43AC5" w:rsidP="00C46252">
      <w:pPr>
        <w:jc w:val="center"/>
        <w:rPr>
          <w:sz w:val="24"/>
          <w:szCs w:val="24"/>
          <w:lang w:val="hr-HR"/>
        </w:rPr>
      </w:pPr>
    </w:p>
    <w:p w:rsidR="00D43AC5" w:rsidRDefault="00D43AC5" w:rsidP="00C46252">
      <w:pPr>
        <w:jc w:val="center"/>
        <w:rPr>
          <w:sz w:val="24"/>
          <w:szCs w:val="24"/>
          <w:lang w:val="hr-HR"/>
        </w:rPr>
      </w:pPr>
    </w:p>
    <w:p w:rsidR="00D43AC5" w:rsidRDefault="00D43AC5" w:rsidP="00C46252">
      <w:pPr>
        <w:jc w:val="center"/>
        <w:rPr>
          <w:sz w:val="24"/>
          <w:szCs w:val="24"/>
          <w:lang w:val="hr-HR"/>
        </w:rPr>
      </w:pPr>
    </w:p>
    <w:p w:rsidR="00D43AC5" w:rsidRDefault="00D43AC5" w:rsidP="00C46252">
      <w:pPr>
        <w:jc w:val="center"/>
        <w:rPr>
          <w:sz w:val="24"/>
          <w:szCs w:val="24"/>
          <w:lang w:val="hr-HR"/>
        </w:rPr>
      </w:pPr>
    </w:p>
    <w:p w:rsidR="00D43AC5" w:rsidRDefault="00D43AC5" w:rsidP="00C46252">
      <w:pPr>
        <w:jc w:val="center"/>
        <w:rPr>
          <w:sz w:val="24"/>
          <w:szCs w:val="24"/>
          <w:lang w:val="hr-HR"/>
        </w:rPr>
      </w:pPr>
    </w:p>
    <w:p w:rsidR="00D43AC5" w:rsidRDefault="00D43AC5" w:rsidP="00C46252">
      <w:pPr>
        <w:jc w:val="center"/>
        <w:rPr>
          <w:sz w:val="24"/>
          <w:szCs w:val="24"/>
          <w:lang w:val="hr-HR"/>
        </w:rPr>
      </w:pPr>
    </w:p>
    <w:p w:rsidR="00D43AC5" w:rsidRDefault="00D43AC5" w:rsidP="00C46252">
      <w:pPr>
        <w:jc w:val="center"/>
        <w:rPr>
          <w:sz w:val="24"/>
          <w:szCs w:val="24"/>
          <w:lang w:val="hr-HR"/>
        </w:rPr>
      </w:pPr>
    </w:p>
    <w:p w:rsidR="00C46252" w:rsidRDefault="00C46252" w:rsidP="00C46252">
      <w:pPr>
        <w:jc w:val="center"/>
        <w:rPr>
          <w:sz w:val="24"/>
          <w:szCs w:val="24"/>
          <w:lang w:val="hr-HR"/>
        </w:rPr>
      </w:pPr>
      <w:r w:rsidRPr="00C70718">
        <w:rPr>
          <w:sz w:val="24"/>
          <w:szCs w:val="24"/>
          <w:lang w:val="hr-HR"/>
        </w:rPr>
        <w:lastRenderedPageBreak/>
        <w:t xml:space="preserve">Članak  </w:t>
      </w:r>
      <w:r>
        <w:rPr>
          <w:sz w:val="24"/>
          <w:szCs w:val="24"/>
          <w:lang w:val="hr-HR"/>
        </w:rPr>
        <w:t>1</w:t>
      </w:r>
      <w:r w:rsidR="008501F1">
        <w:rPr>
          <w:sz w:val="24"/>
          <w:szCs w:val="24"/>
          <w:lang w:val="hr-HR"/>
        </w:rPr>
        <w:t>3</w:t>
      </w:r>
      <w:r>
        <w:rPr>
          <w:sz w:val="24"/>
          <w:szCs w:val="24"/>
          <w:lang w:val="hr-HR"/>
        </w:rPr>
        <w:t>.</w:t>
      </w:r>
    </w:p>
    <w:p w:rsidR="00416D95" w:rsidRDefault="00416D95" w:rsidP="00C46252">
      <w:pPr>
        <w:jc w:val="center"/>
        <w:rPr>
          <w:sz w:val="24"/>
          <w:szCs w:val="24"/>
          <w:lang w:val="hr-HR"/>
        </w:rPr>
      </w:pPr>
    </w:p>
    <w:p w:rsidR="008501F1" w:rsidRDefault="00A15758" w:rsidP="004D5B3D">
      <w:pPr>
        <w:ind w:firstLine="720"/>
        <w:jc w:val="both"/>
        <w:rPr>
          <w:sz w:val="24"/>
          <w:szCs w:val="24"/>
          <w:lang w:val="hr-HR"/>
        </w:rPr>
      </w:pPr>
      <w:r>
        <w:rPr>
          <w:sz w:val="24"/>
          <w:szCs w:val="24"/>
          <w:lang w:val="hr-HR"/>
        </w:rPr>
        <w:t>Za zapremanje javnih površina na posebno organiziranim sajmovima,manifestacijama i proslavama plaća se porez na svaki četvorni metar površine koja se koristi u Gradu Ludbregu, u cijelo vrijeme trajanja istih i to:</w:t>
      </w:r>
    </w:p>
    <w:p w:rsidR="00A15758" w:rsidRDefault="00A15758" w:rsidP="008501F1">
      <w:pPr>
        <w:rPr>
          <w:sz w:val="24"/>
          <w:szCs w:val="24"/>
          <w:lang w:val="hr-HR"/>
        </w:rPr>
      </w:pPr>
    </w:p>
    <w:p w:rsidR="00A15758" w:rsidRDefault="00A15758" w:rsidP="008501F1">
      <w:pPr>
        <w:rPr>
          <w:sz w:val="24"/>
          <w:szCs w:val="24"/>
          <w:lang w:val="hr-HR"/>
        </w:rPr>
      </w:pPr>
      <w:r>
        <w:rPr>
          <w:sz w:val="24"/>
          <w:szCs w:val="24"/>
          <w:lang w:val="hr-HR"/>
        </w:rPr>
        <w:tab/>
        <w:t xml:space="preserve">-ugostiteljski </w:t>
      </w:r>
      <w:r w:rsidR="002C4BF0">
        <w:rPr>
          <w:sz w:val="24"/>
          <w:szCs w:val="24"/>
          <w:lang w:val="hr-HR"/>
        </w:rPr>
        <w:t>,</w:t>
      </w:r>
      <w:r>
        <w:rPr>
          <w:sz w:val="24"/>
          <w:szCs w:val="24"/>
          <w:lang w:val="hr-HR"/>
        </w:rPr>
        <w:t>zabavni</w:t>
      </w:r>
      <w:r w:rsidR="002C4BF0">
        <w:rPr>
          <w:sz w:val="24"/>
          <w:szCs w:val="24"/>
          <w:lang w:val="hr-HR"/>
        </w:rPr>
        <w:t xml:space="preserve"> i ostali sadržaji</w:t>
      </w:r>
      <w:r w:rsidR="002C4BF0">
        <w:rPr>
          <w:sz w:val="24"/>
          <w:szCs w:val="24"/>
          <w:lang w:val="hr-HR"/>
        </w:rPr>
        <w:tab/>
        <w:t xml:space="preserve">  10</w:t>
      </w:r>
      <w:r>
        <w:rPr>
          <w:sz w:val="24"/>
          <w:szCs w:val="24"/>
          <w:lang w:val="hr-HR"/>
        </w:rPr>
        <w:t>0,00 kn/ m2</w:t>
      </w:r>
    </w:p>
    <w:p w:rsidR="00A15758" w:rsidRDefault="00A15758" w:rsidP="008501F1">
      <w:pPr>
        <w:rPr>
          <w:sz w:val="24"/>
          <w:szCs w:val="24"/>
          <w:lang w:val="hr-HR"/>
        </w:rPr>
      </w:pPr>
      <w:r>
        <w:rPr>
          <w:sz w:val="24"/>
          <w:szCs w:val="24"/>
          <w:lang w:val="hr-HR"/>
        </w:rPr>
        <w:tab/>
      </w:r>
      <w:r>
        <w:rPr>
          <w:sz w:val="24"/>
          <w:szCs w:val="24"/>
          <w:lang w:val="hr-HR"/>
        </w:rPr>
        <w:tab/>
      </w:r>
      <w:r>
        <w:rPr>
          <w:sz w:val="24"/>
          <w:szCs w:val="24"/>
          <w:lang w:val="hr-HR"/>
        </w:rPr>
        <w:tab/>
      </w:r>
    </w:p>
    <w:p w:rsidR="001957D8" w:rsidRDefault="001957D8" w:rsidP="004D5B3D">
      <w:pPr>
        <w:pStyle w:val="Odlomakpopisa"/>
        <w:tabs>
          <w:tab w:val="left" w:pos="4200"/>
          <w:tab w:val="center" w:pos="4860"/>
        </w:tabs>
        <w:ind w:left="1080"/>
        <w:rPr>
          <w:sz w:val="24"/>
          <w:szCs w:val="24"/>
          <w:lang w:val="hr-HR"/>
        </w:rPr>
      </w:pPr>
    </w:p>
    <w:p w:rsidR="00D43AC5" w:rsidRPr="004D5B3D" w:rsidRDefault="00D43AC5" w:rsidP="0070058C">
      <w:pPr>
        <w:jc w:val="center"/>
        <w:rPr>
          <w:b/>
          <w:sz w:val="24"/>
          <w:szCs w:val="24"/>
          <w:lang w:val="hr-HR"/>
        </w:rPr>
      </w:pPr>
    </w:p>
    <w:p w:rsidR="00940386" w:rsidRPr="004D5B3D" w:rsidRDefault="004D5B3D" w:rsidP="004D5B3D">
      <w:pPr>
        <w:rPr>
          <w:b/>
          <w:sz w:val="24"/>
          <w:szCs w:val="24"/>
          <w:lang w:val="hr-HR"/>
        </w:rPr>
      </w:pPr>
      <w:r w:rsidRPr="004D5B3D">
        <w:rPr>
          <w:b/>
          <w:sz w:val="24"/>
          <w:szCs w:val="24"/>
          <w:lang w:val="hr-HR"/>
        </w:rPr>
        <w:t xml:space="preserve">III.  </w:t>
      </w:r>
      <w:r w:rsidR="00940386" w:rsidRPr="004D5B3D">
        <w:rPr>
          <w:b/>
          <w:sz w:val="24"/>
          <w:szCs w:val="24"/>
          <w:lang w:val="hr-HR"/>
        </w:rPr>
        <w:t>PRIJELAZNE I ZAVRŠNE ODREDBE</w:t>
      </w:r>
    </w:p>
    <w:p w:rsidR="00940386" w:rsidRDefault="00940386" w:rsidP="0070058C">
      <w:pPr>
        <w:jc w:val="center"/>
        <w:rPr>
          <w:sz w:val="24"/>
          <w:szCs w:val="24"/>
          <w:lang w:val="hr-HR"/>
        </w:rPr>
      </w:pPr>
    </w:p>
    <w:p w:rsidR="00940386" w:rsidRDefault="00940386" w:rsidP="0070058C">
      <w:pPr>
        <w:jc w:val="center"/>
        <w:rPr>
          <w:sz w:val="24"/>
          <w:szCs w:val="24"/>
          <w:lang w:val="hr-HR"/>
        </w:rPr>
      </w:pPr>
    </w:p>
    <w:p w:rsidR="00A3104B" w:rsidRDefault="00A3104B" w:rsidP="00A3104B">
      <w:pPr>
        <w:jc w:val="center"/>
        <w:rPr>
          <w:sz w:val="24"/>
          <w:szCs w:val="24"/>
          <w:lang w:val="hr-HR"/>
        </w:rPr>
      </w:pPr>
      <w:r w:rsidRPr="00C70718">
        <w:rPr>
          <w:sz w:val="24"/>
          <w:szCs w:val="24"/>
          <w:lang w:val="hr-HR"/>
        </w:rPr>
        <w:t>Članak</w:t>
      </w:r>
      <w:r w:rsidR="00355398">
        <w:rPr>
          <w:sz w:val="24"/>
          <w:szCs w:val="24"/>
          <w:lang w:val="hr-HR"/>
        </w:rPr>
        <w:t xml:space="preserve"> 14</w:t>
      </w:r>
      <w:r w:rsidRPr="00C70718">
        <w:rPr>
          <w:sz w:val="24"/>
          <w:szCs w:val="24"/>
          <w:lang w:val="hr-HR"/>
        </w:rPr>
        <w:t xml:space="preserve">  </w:t>
      </w:r>
      <w:r>
        <w:rPr>
          <w:sz w:val="24"/>
          <w:szCs w:val="24"/>
          <w:lang w:val="hr-HR"/>
        </w:rPr>
        <w:t>.</w:t>
      </w:r>
    </w:p>
    <w:p w:rsidR="002748CC" w:rsidRDefault="002748CC" w:rsidP="0070058C">
      <w:pPr>
        <w:jc w:val="center"/>
        <w:rPr>
          <w:sz w:val="24"/>
          <w:szCs w:val="24"/>
          <w:lang w:val="hr-HR"/>
        </w:rPr>
      </w:pPr>
    </w:p>
    <w:p w:rsidR="00C612E0" w:rsidRPr="002E2FD9" w:rsidRDefault="00C612E0" w:rsidP="00C612E0">
      <w:pPr>
        <w:jc w:val="both"/>
        <w:rPr>
          <w:sz w:val="24"/>
          <w:szCs w:val="24"/>
          <w:lang w:val="hr-HR"/>
        </w:rPr>
      </w:pPr>
      <w:r w:rsidRPr="002E2FD9">
        <w:rPr>
          <w:sz w:val="24"/>
          <w:szCs w:val="24"/>
          <w:lang w:val="hr-HR"/>
        </w:rPr>
        <w:tab/>
      </w:r>
      <w:r w:rsidR="00045E92" w:rsidRPr="002E2FD9">
        <w:rPr>
          <w:sz w:val="24"/>
          <w:szCs w:val="24"/>
          <w:lang w:val="hr-HR"/>
        </w:rPr>
        <w:t>P</w:t>
      </w:r>
      <w:r w:rsidRPr="002E2FD9">
        <w:rPr>
          <w:sz w:val="24"/>
          <w:szCs w:val="24"/>
          <w:lang w:val="hr-HR"/>
        </w:rPr>
        <w:t>oslove u vezi s utvrđivanjem i naplatom poreza na korištenje javnih površina kao i provođenje ovršnog postupka radi naplate potraživanja  navedene vrste poreza obavljati će nadležni odsjek u okviru Jedinstvenog upravnog odjela Grada Ludbrega.</w:t>
      </w:r>
    </w:p>
    <w:p w:rsidR="00C612E0" w:rsidRDefault="00C612E0" w:rsidP="00C612E0">
      <w:pPr>
        <w:jc w:val="both"/>
        <w:rPr>
          <w:sz w:val="24"/>
          <w:szCs w:val="24"/>
          <w:lang w:val="hr-HR"/>
        </w:rPr>
      </w:pPr>
      <w:r w:rsidRPr="002E2FD9">
        <w:rPr>
          <w:sz w:val="24"/>
          <w:szCs w:val="24"/>
          <w:lang w:val="hr-HR"/>
        </w:rPr>
        <w:tab/>
        <w:t xml:space="preserve"> Poslove u vezi s utvrđivanjem i naplatom ostalih poreza iz predmetne Odluke kao i provođenje ovršnog postupka radi naplate potraživanja,  Gradsko vijeće Grada Ludbrega povjerava Ministarstvu financija, Poreznoj upravi, </w:t>
      </w:r>
      <w:r w:rsidR="00796976">
        <w:rPr>
          <w:sz w:val="24"/>
          <w:szCs w:val="24"/>
          <w:lang w:val="hr-HR"/>
        </w:rPr>
        <w:t>Područnom uredu Varaždin</w:t>
      </w:r>
      <w:r w:rsidRPr="002E2FD9">
        <w:rPr>
          <w:sz w:val="24"/>
          <w:szCs w:val="24"/>
          <w:lang w:val="hr-HR"/>
        </w:rPr>
        <w:t xml:space="preserve">, Ispostavi </w:t>
      </w:r>
      <w:r w:rsidR="00796976">
        <w:rPr>
          <w:sz w:val="24"/>
          <w:szCs w:val="24"/>
          <w:lang w:val="hr-HR"/>
        </w:rPr>
        <w:t>Ludbreg.</w:t>
      </w:r>
    </w:p>
    <w:p w:rsidR="004D5B3D" w:rsidRPr="002E2FD9" w:rsidRDefault="004D5B3D" w:rsidP="00C612E0">
      <w:pPr>
        <w:jc w:val="both"/>
        <w:rPr>
          <w:sz w:val="24"/>
          <w:szCs w:val="24"/>
          <w:lang w:val="hr-HR"/>
        </w:rPr>
      </w:pPr>
    </w:p>
    <w:p w:rsidR="00C61511" w:rsidRDefault="00C61511" w:rsidP="00C61511">
      <w:pPr>
        <w:jc w:val="center"/>
        <w:rPr>
          <w:sz w:val="24"/>
          <w:szCs w:val="24"/>
          <w:lang w:val="hr-HR"/>
        </w:rPr>
      </w:pPr>
      <w:r w:rsidRPr="00C70718">
        <w:rPr>
          <w:sz w:val="24"/>
          <w:szCs w:val="24"/>
          <w:lang w:val="hr-HR"/>
        </w:rPr>
        <w:t xml:space="preserve">Članak </w:t>
      </w:r>
      <w:r w:rsidR="00355398">
        <w:rPr>
          <w:sz w:val="24"/>
          <w:szCs w:val="24"/>
          <w:lang w:val="hr-HR"/>
        </w:rPr>
        <w:t>15</w:t>
      </w:r>
      <w:r w:rsidRPr="00C70718">
        <w:rPr>
          <w:sz w:val="24"/>
          <w:szCs w:val="24"/>
          <w:lang w:val="hr-HR"/>
        </w:rPr>
        <w:t xml:space="preserve"> </w:t>
      </w:r>
      <w:r>
        <w:rPr>
          <w:sz w:val="24"/>
          <w:szCs w:val="24"/>
          <w:lang w:val="hr-HR"/>
        </w:rPr>
        <w:t>.</w:t>
      </w:r>
    </w:p>
    <w:p w:rsidR="0085683E" w:rsidRPr="00C61511" w:rsidRDefault="0085683E" w:rsidP="002748CC">
      <w:pPr>
        <w:jc w:val="center"/>
        <w:rPr>
          <w:sz w:val="24"/>
          <w:szCs w:val="24"/>
          <w:lang w:val="hr-HR"/>
        </w:rPr>
      </w:pPr>
    </w:p>
    <w:p w:rsidR="0070058C" w:rsidRDefault="0070058C" w:rsidP="0070058C">
      <w:pPr>
        <w:jc w:val="center"/>
        <w:rPr>
          <w:sz w:val="24"/>
          <w:szCs w:val="24"/>
          <w:lang w:val="hr-HR"/>
        </w:rPr>
      </w:pPr>
    </w:p>
    <w:p w:rsidR="009032EC" w:rsidRDefault="0070058C" w:rsidP="004D5B3D">
      <w:pPr>
        <w:ind w:firstLine="720"/>
        <w:jc w:val="both"/>
        <w:rPr>
          <w:sz w:val="24"/>
          <w:szCs w:val="24"/>
          <w:lang w:val="hr-HR"/>
        </w:rPr>
      </w:pPr>
      <w:r>
        <w:rPr>
          <w:sz w:val="24"/>
          <w:szCs w:val="24"/>
          <w:lang w:val="hr-HR"/>
        </w:rPr>
        <w:t xml:space="preserve">Danom primjene ove odluke prestaje važiti Odluka o </w:t>
      </w:r>
      <w:r w:rsidR="000B4AC0">
        <w:rPr>
          <w:sz w:val="24"/>
          <w:szCs w:val="24"/>
          <w:lang w:val="hr-HR"/>
        </w:rPr>
        <w:t xml:space="preserve">gradskim </w:t>
      </w:r>
      <w:r>
        <w:rPr>
          <w:sz w:val="24"/>
          <w:szCs w:val="24"/>
          <w:lang w:val="hr-HR"/>
        </w:rPr>
        <w:t>porezima</w:t>
      </w:r>
      <w:r w:rsidR="000B4AC0">
        <w:rPr>
          <w:sz w:val="24"/>
          <w:szCs w:val="24"/>
          <w:lang w:val="hr-HR"/>
        </w:rPr>
        <w:t xml:space="preserve"> („Službeni vjesnik Varaždinske županije“broj 28/01</w:t>
      </w:r>
      <w:r w:rsidR="0021729F">
        <w:rPr>
          <w:sz w:val="24"/>
          <w:szCs w:val="24"/>
          <w:lang w:val="hr-HR"/>
        </w:rPr>
        <w:t>,18/06,67/15 i 53/16</w:t>
      </w:r>
      <w:r w:rsidR="000B4AC0">
        <w:rPr>
          <w:sz w:val="24"/>
          <w:szCs w:val="24"/>
          <w:lang w:val="hr-HR"/>
        </w:rPr>
        <w:t>)</w:t>
      </w:r>
      <w:r w:rsidR="0021729F">
        <w:rPr>
          <w:sz w:val="24"/>
          <w:szCs w:val="24"/>
          <w:lang w:val="hr-HR"/>
        </w:rPr>
        <w:t xml:space="preserve"> i </w:t>
      </w:r>
      <w:r w:rsidR="000B4AC0">
        <w:rPr>
          <w:sz w:val="24"/>
          <w:szCs w:val="24"/>
          <w:lang w:val="hr-HR"/>
        </w:rPr>
        <w:t xml:space="preserve">Odluka o </w:t>
      </w:r>
      <w:r w:rsidR="0021729F">
        <w:rPr>
          <w:sz w:val="24"/>
          <w:szCs w:val="24"/>
          <w:lang w:val="hr-HR"/>
        </w:rPr>
        <w:t>prirezu porezu na dohodak („Narodne novine“ broj 156/02,146/05 i</w:t>
      </w:r>
      <w:r w:rsidR="00094B34">
        <w:rPr>
          <w:sz w:val="24"/>
          <w:szCs w:val="24"/>
          <w:lang w:val="hr-HR"/>
        </w:rPr>
        <w:t xml:space="preserve"> 74/08.</w:t>
      </w:r>
      <w:r w:rsidR="0021729F">
        <w:rPr>
          <w:sz w:val="24"/>
          <w:szCs w:val="24"/>
          <w:lang w:val="hr-HR"/>
        </w:rPr>
        <w:t xml:space="preserve">   i  „Službeni vjesnik Varaždinske županije“ broj</w:t>
      </w:r>
      <w:r w:rsidR="00094B34">
        <w:rPr>
          <w:sz w:val="24"/>
          <w:szCs w:val="24"/>
          <w:lang w:val="hr-HR"/>
        </w:rPr>
        <w:t xml:space="preserve"> </w:t>
      </w:r>
      <w:r w:rsidR="0021729F">
        <w:rPr>
          <w:sz w:val="24"/>
          <w:szCs w:val="24"/>
          <w:lang w:val="hr-HR"/>
        </w:rPr>
        <w:t xml:space="preserve">28/02,32/05 i </w:t>
      </w:r>
      <w:r w:rsidR="00094B34">
        <w:rPr>
          <w:sz w:val="24"/>
          <w:szCs w:val="24"/>
          <w:lang w:val="hr-HR"/>
        </w:rPr>
        <w:t>18/08.</w:t>
      </w:r>
    </w:p>
    <w:p w:rsidR="00094B34" w:rsidRDefault="00094B34" w:rsidP="009032EC">
      <w:pPr>
        <w:rPr>
          <w:sz w:val="24"/>
          <w:szCs w:val="24"/>
          <w:lang w:val="hr-HR"/>
        </w:rPr>
      </w:pPr>
    </w:p>
    <w:p w:rsidR="00A62F0F" w:rsidRDefault="00A62F0F" w:rsidP="00A62F0F">
      <w:pPr>
        <w:jc w:val="center"/>
        <w:rPr>
          <w:sz w:val="24"/>
          <w:szCs w:val="24"/>
          <w:lang w:val="hr-HR"/>
        </w:rPr>
      </w:pPr>
      <w:r w:rsidRPr="00C70718">
        <w:rPr>
          <w:sz w:val="24"/>
          <w:szCs w:val="24"/>
          <w:lang w:val="hr-HR"/>
        </w:rPr>
        <w:t>Članak</w:t>
      </w:r>
      <w:r w:rsidR="0085683E">
        <w:rPr>
          <w:sz w:val="24"/>
          <w:szCs w:val="24"/>
          <w:lang w:val="hr-HR"/>
        </w:rPr>
        <w:t xml:space="preserve"> </w:t>
      </w:r>
      <w:r w:rsidR="00355398">
        <w:rPr>
          <w:sz w:val="24"/>
          <w:szCs w:val="24"/>
          <w:lang w:val="hr-HR"/>
        </w:rPr>
        <w:t>16</w:t>
      </w:r>
      <w:r w:rsidRPr="00C70718">
        <w:rPr>
          <w:sz w:val="24"/>
          <w:szCs w:val="24"/>
          <w:lang w:val="hr-HR"/>
        </w:rPr>
        <w:t xml:space="preserve">  </w:t>
      </w:r>
      <w:r>
        <w:rPr>
          <w:sz w:val="24"/>
          <w:szCs w:val="24"/>
          <w:lang w:val="hr-HR"/>
        </w:rPr>
        <w:t>.</w:t>
      </w:r>
    </w:p>
    <w:p w:rsidR="00A62F0F" w:rsidRDefault="00A62F0F" w:rsidP="00A62F0F">
      <w:pPr>
        <w:jc w:val="center"/>
        <w:rPr>
          <w:sz w:val="24"/>
          <w:szCs w:val="24"/>
          <w:lang w:val="hr-HR"/>
        </w:rPr>
      </w:pPr>
    </w:p>
    <w:p w:rsidR="00E77B1A" w:rsidRDefault="00E818CB" w:rsidP="004D5B3D">
      <w:pPr>
        <w:ind w:firstLine="720"/>
        <w:jc w:val="both"/>
        <w:rPr>
          <w:sz w:val="24"/>
          <w:szCs w:val="24"/>
          <w:lang w:val="hr-HR"/>
        </w:rPr>
      </w:pPr>
      <w:r w:rsidRPr="00C70718">
        <w:rPr>
          <w:sz w:val="24"/>
          <w:szCs w:val="24"/>
          <w:lang w:val="hr-HR"/>
        </w:rPr>
        <w:t xml:space="preserve">Ova odluka </w:t>
      </w:r>
      <w:r w:rsidR="00E77B1A">
        <w:rPr>
          <w:sz w:val="24"/>
          <w:szCs w:val="24"/>
          <w:lang w:val="hr-HR"/>
        </w:rPr>
        <w:t xml:space="preserve">stupa na snagu </w:t>
      </w:r>
      <w:r w:rsidR="007D61AF">
        <w:rPr>
          <w:sz w:val="24"/>
          <w:szCs w:val="24"/>
          <w:lang w:val="hr-HR"/>
        </w:rPr>
        <w:t>prvog</w:t>
      </w:r>
      <w:r w:rsidR="00E77B1A">
        <w:rPr>
          <w:sz w:val="24"/>
          <w:szCs w:val="24"/>
          <w:lang w:val="hr-HR"/>
        </w:rPr>
        <w:t xml:space="preserve"> dana od dana </w:t>
      </w:r>
      <w:r w:rsidR="0021729F">
        <w:rPr>
          <w:sz w:val="24"/>
          <w:szCs w:val="24"/>
          <w:lang w:val="hr-HR"/>
        </w:rPr>
        <w:t>objav</w:t>
      </w:r>
      <w:r w:rsidR="00E77B1A">
        <w:rPr>
          <w:sz w:val="24"/>
          <w:szCs w:val="24"/>
          <w:lang w:val="hr-HR"/>
        </w:rPr>
        <w:t>e u „Narodnim novinama“ ,</w:t>
      </w:r>
    </w:p>
    <w:p w:rsidR="00E818CB" w:rsidRPr="00C70718" w:rsidRDefault="000E75CA" w:rsidP="004D5B3D">
      <w:pPr>
        <w:jc w:val="both"/>
        <w:rPr>
          <w:sz w:val="24"/>
          <w:szCs w:val="24"/>
          <w:lang w:val="hr-HR"/>
        </w:rPr>
      </w:pPr>
      <w:r w:rsidRPr="00C70718">
        <w:rPr>
          <w:sz w:val="24"/>
          <w:szCs w:val="24"/>
          <w:lang w:val="hr-HR"/>
        </w:rPr>
        <w:t>a primjenjuje se od 01.siječnja 201</w:t>
      </w:r>
      <w:r w:rsidR="00DE7564">
        <w:rPr>
          <w:sz w:val="24"/>
          <w:szCs w:val="24"/>
          <w:lang w:val="hr-HR"/>
        </w:rPr>
        <w:t>8</w:t>
      </w:r>
      <w:r w:rsidRPr="00C70718">
        <w:rPr>
          <w:sz w:val="24"/>
          <w:szCs w:val="24"/>
          <w:lang w:val="hr-HR"/>
        </w:rPr>
        <w:t>.godine.</w:t>
      </w:r>
    </w:p>
    <w:p w:rsidR="00E818CB" w:rsidRPr="00C70718" w:rsidRDefault="00E77B1A" w:rsidP="004D5B3D">
      <w:pPr>
        <w:ind w:firstLine="720"/>
        <w:jc w:val="both"/>
        <w:rPr>
          <w:sz w:val="24"/>
          <w:szCs w:val="24"/>
          <w:lang w:val="hr-HR"/>
        </w:rPr>
      </w:pPr>
      <w:r>
        <w:rPr>
          <w:sz w:val="24"/>
          <w:szCs w:val="24"/>
          <w:lang w:val="hr-HR"/>
        </w:rPr>
        <w:t>Ista će se objaviti i u „Službenom vjesniku Varaždinske županije“.</w:t>
      </w:r>
      <w:r w:rsidR="002E0F23">
        <w:rPr>
          <w:sz w:val="24"/>
          <w:szCs w:val="24"/>
          <w:lang w:val="hr-HR"/>
        </w:rPr>
        <w:t xml:space="preserve">  </w:t>
      </w:r>
    </w:p>
    <w:p w:rsidR="00616F48" w:rsidRPr="00C70718" w:rsidRDefault="00616F48" w:rsidP="004D5B3D">
      <w:pPr>
        <w:jc w:val="both"/>
        <w:rPr>
          <w:sz w:val="24"/>
          <w:szCs w:val="24"/>
          <w:lang w:val="hr-HR"/>
        </w:rPr>
      </w:pPr>
    </w:p>
    <w:p w:rsidR="00616F48" w:rsidRPr="00C70718" w:rsidRDefault="00616F48" w:rsidP="00616F48">
      <w:pPr>
        <w:rPr>
          <w:sz w:val="24"/>
          <w:szCs w:val="24"/>
          <w:lang w:val="hr-HR"/>
        </w:rPr>
      </w:pPr>
    </w:p>
    <w:p w:rsidR="00616F48" w:rsidRDefault="00616F48" w:rsidP="00616F48">
      <w:pPr>
        <w:rPr>
          <w:sz w:val="24"/>
          <w:szCs w:val="24"/>
          <w:lang w:val="hr-HR"/>
        </w:rPr>
      </w:pPr>
    </w:p>
    <w:p w:rsidR="004D5B3D" w:rsidRPr="00C70718" w:rsidRDefault="004D5B3D" w:rsidP="00616F48">
      <w:pPr>
        <w:rPr>
          <w:sz w:val="24"/>
          <w:szCs w:val="24"/>
          <w:lang w:val="hr-HR"/>
        </w:rPr>
      </w:pPr>
    </w:p>
    <w:p w:rsidR="00F26900" w:rsidRDefault="00616F48" w:rsidP="00616F48">
      <w:pPr>
        <w:tabs>
          <w:tab w:val="left" w:pos="5340"/>
        </w:tabs>
        <w:rPr>
          <w:sz w:val="24"/>
          <w:szCs w:val="24"/>
          <w:lang w:val="hr-HR"/>
        </w:rPr>
      </w:pPr>
      <w:r w:rsidRPr="00C70718">
        <w:rPr>
          <w:sz w:val="24"/>
          <w:szCs w:val="24"/>
          <w:lang w:val="hr-HR"/>
        </w:rPr>
        <w:tab/>
        <w:t>Predsjedni</w:t>
      </w:r>
      <w:r w:rsidR="00046843">
        <w:rPr>
          <w:sz w:val="24"/>
          <w:szCs w:val="24"/>
          <w:lang w:val="hr-HR"/>
        </w:rPr>
        <w:t>k</w:t>
      </w:r>
      <w:r w:rsidRPr="00C70718">
        <w:rPr>
          <w:sz w:val="24"/>
          <w:szCs w:val="24"/>
          <w:lang w:val="hr-HR"/>
        </w:rPr>
        <w:t xml:space="preserve"> Gradskog vijeća</w:t>
      </w:r>
    </w:p>
    <w:p w:rsidR="00BC4656" w:rsidRPr="00C70718" w:rsidRDefault="00BC4656" w:rsidP="00616F48">
      <w:pPr>
        <w:tabs>
          <w:tab w:val="left" w:pos="5340"/>
        </w:tabs>
        <w:rPr>
          <w:sz w:val="24"/>
          <w:szCs w:val="24"/>
          <w:lang w:val="hr-HR"/>
        </w:rPr>
      </w:pPr>
      <w:r>
        <w:rPr>
          <w:sz w:val="24"/>
          <w:szCs w:val="24"/>
          <w:lang w:val="hr-HR"/>
        </w:rPr>
        <w:tab/>
      </w:r>
      <w:r>
        <w:rPr>
          <w:sz w:val="24"/>
          <w:szCs w:val="24"/>
          <w:lang w:val="hr-HR"/>
        </w:rPr>
        <w:tab/>
        <w:t xml:space="preserve">    Antun Šimić</w:t>
      </w:r>
    </w:p>
    <w:p w:rsidR="00616F48" w:rsidRPr="00C70718" w:rsidRDefault="00616F48" w:rsidP="00616F48">
      <w:pPr>
        <w:tabs>
          <w:tab w:val="left" w:pos="5340"/>
        </w:tabs>
        <w:rPr>
          <w:sz w:val="24"/>
          <w:szCs w:val="24"/>
          <w:lang w:val="hr-HR"/>
        </w:rPr>
      </w:pPr>
      <w:r w:rsidRPr="00C70718">
        <w:rPr>
          <w:sz w:val="24"/>
          <w:szCs w:val="24"/>
          <w:lang w:val="hr-HR"/>
        </w:rPr>
        <w:tab/>
        <w:t xml:space="preserve">       </w:t>
      </w:r>
    </w:p>
    <w:p w:rsidR="00B76F4B" w:rsidRPr="00C70718" w:rsidRDefault="00B76F4B" w:rsidP="00616F48">
      <w:pPr>
        <w:tabs>
          <w:tab w:val="left" w:pos="5340"/>
        </w:tabs>
        <w:rPr>
          <w:sz w:val="24"/>
          <w:szCs w:val="24"/>
          <w:lang w:val="hr-HR"/>
        </w:rPr>
      </w:pPr>
    </w:p>
    <w:p w:rsidR="00B76F4B" w:rsidRDefault="00B76F4B" w:rsidP="00616F48">
      <w:pPr>
        <w:tabs>
          <w:tab w:val="left" w:pos="5340"/>
        </w:tabs>
        <w:rPr>
          <w:sz w:val="24"/>
          <w:szCs w:val="24"/>
          <w:lang w:val="hr-HR"/>
        </w:rPr>
      </w:pPr>
    </w:p>
    <w:p w:rsidR="0030482E" w:rsidRDefault="0030482E" w:rsidP="00B76F4B">
      <w:pPr>
        <w:ind w:left="567"/>
        <w:jc w:val="center"/>
        <w:rPr>
          <w:b/>
          <w:sz w:val="28"/>
          <w:szCs w:val="28"/>
          <w:lang w:val="hr-HR"/>
        </w:rPr>
      </w:pPr>
    </w:p>
    <w:p w:rsidR="0030482E" w:rsidRDefault="0030482E" w:rsidP="00B76F4B">
      <w:pPr>
        <w:ind w:left="567"/>
        <w:jc w:val="center"/>
        <w:rPr>
          <w:b/>
          <w:sz w:val="28"/>
          <w:szCs w:val="28"/>
          <w:lang w:val="hr-HR"/>
        </w:rPr>
      </w:pPr>
    </w:p>
    <w:p w:rsidR="0030482E" w:rsidRDefault="0030482E" w:rsidP="00B76F4B">
      <w:pPr>
        <w:ind w:left="567"/>
        <w:jc w:val="center"/>
        <w:rPr>
          <w:b/>
          <w:sz w:val="28"/>
          <w:szCs w:val="28"/>
          <w:lang w:val="hr-HR"/>
        </w:rPr>
      </w:pPr>
    </w:p>
    <w:p w:rsidR="00B76F4B" w:rsidRPr="00B76F4B" w:rsidRDefault="00B76F4B" w:rsidP="00B76F4B">
      <w:pPr>
        <w:ind w:left="567"/>
        <w:jc w:val="center"/>
        <w:rPr>
          <w:b/>
          <w:sz w:val="28"/>
          <w:szCs w:val="28"/>
          <w:lang w:val="hr-HR"/>
        </w:rPr>
      </w:pPr>
      <w:r w:rsidRPr="00B76F4B">
        <w:rPr>
          <w:b/>
          <w:sz w:val="28"/>
          <w:szCs w:val="28"/>
          <w:lang w:val="hr-HR"/>
        </w:rPr>
        <w:lastRenderedPageBreak/>
        <w:t>OBRAZLOŽENJE</w:t>
      </w:r>
    </w:p>
    <w:p w:rsidR="00B76F4B" w:rsidRDefault="00E307B8" w:rsidP="00B76F4B">
      <w:pPr>
        <w:ind w:left="567"/>
        <w:jc w:val="center"/>
        <w:rPr>
          <w:b/>
          <w:sz w:val="24"/>
          <w:szCs w:val="24"/>
          <w:lang w:val="hr-HR"/>
        </w:rPr>
      </w:pPr>
      <w:r>
        <w:rPr>
          <w:b/>
          <w:sz w:val="24"/>
          <w:szCs w:val="24"/>
          <w:lang w:val="hr-HR"/>
        </w:rPr>
        <w:t>O</w:t>
      </w:r>
      <w:r w:rsidR="00B76F4B" w:rsidRPr="00B76F4B">
        <w:rPr>
          <w:b/>
          <w:sz w:val="24"/>
          <w:szCs w:val="24"/>
          <w:lang w:val="hr-HR"/>
        </w:rPr>
        <w:t xml:space="preserve"> d l u k </w:t>
      </w:r>
      <w:r w:rsidR="00B76F4B">
        <w:rPr>
          <w:b/>
          <w:sz w:val="24"/>
          <w:szCs w:val="24"/>
          <w:lang w:val="hr-HR"/>
        </w:rPr>
        <w:t>e</w:t>
      </w:r>
      <w:r>
        <w:rPr>
          <w:b/>
          <w:sz w:val="24"/>
          <w:szCs w:val="24"/>
          <w:lang w:val="hr-HR"/>
        </w:rPr>
        <w:t xml:space="preserve">   o  porezima  Grada Ludbrega  </w:t>
      </w:r>
    </w:p>
    <w:p w:rsidR="00CF2D13" w:rsidRPr="002E2FD9" w:rsidRDefault="00CF2D13" w:rsidP="00B76F4B">
      <w:pPr>
        <w:ind w:left="567"/>
        <w:jc w:val="center"/>
        <w:rPr>
          <w:b/>
          <w:sz w:val="22"/>
          <w:szCs w:val="24"/>
          <w:lang w:val="hr-HR"/>
        </w:rPr>
      </w:pPr>
    </w:p>
    <w:p w:rsidR="00307A77" w:rsidRDefault="00307A77" w:rsidP="002E2FD9">
      <w:pPr>
        <w:spacing w:line="360" w:lineRule="auto"/>
        <w:ind w:firstLine="567"/>
        <w:jc w:val="both"/>
        <w:rPr>
          <w:sz w:val="22"/>
          <w:szCs w:val="24"/>
          <w:lang w:val="hr-HR"/>
        </w:rPr>
      </w:pPr>
    </w:p>
    <w:p w:rsidR="00307A77" w:rsidRDefault="00307A77" w:rsidP="002E2FD9">
      <w:pPr>
        <w:spacing w:line="360" w:lineRule="auto"/>
        <w:ind w:firstLine="567"/>
        <w:jc w:val="both"/>
        <w:rPr>
          <w:sz w:val="22"/>
          <w:szCs w:val="24"/>
          <w:lang w:val="hr-HR"/>
        </w:rPr>
      </w:pPr>
    </w:p>
    <w:p w:rsidR="00B76F4B" w:rsidRPr="002E2FD9" w:rsidRDefault="00BF5C5C" w:rsidP="002E2FD9">
      <w:pPr>
        <w:spacing w:line="360" w:lineRule="auto"/>
        <w:ind w:firstLine="567"/>
        <w:jc w:val="both"/>
        <w:rPr>
          <w:sz w:val="22"/>
          <w:szCs w:val="24"/>
          <w:lang w:val="hr-HR"/>
        </w:rPr>
      </w:pPr>
      <w:r w:rsidRPr="002E2FD9">
        <w:rPr>
          <w:sz w:val="22"/>
          <w:szCs w:val="24"/>
          <w:lang w:val="hr-HR"/>
        </w:rPr>
        <w:t>U sklopu cjelovite porezne reforme pristupilo se izradi   novog propisa kojim se uređuju lokalni porezi pa je donesen Zakon o lokalnim porezima. Zakonom se ne uvode nove vrste poreza</w:t>
      </w:r>
      <w:r w:rsidR="00A35FA7">
        <w:rPr>
          <w:sz w:val="22"/>
          <w:szCs w:val="24"/>
          <w:lang w:val="hr-HR"/>
        </w:rPr>
        <w:t>.</w:t>
      </w:r>
      <w:r w:rsidRPr="002E2FD9">
        <w:rPr>
          <w:sz w:val="22"/>
          <w:szCs w:val="24"/>
          <w:lang w:val="hr-HR"/>
        </w:rPr>
        <w:t xml:space="preserve"> Navedene vrste poreza preuzete su iz Zakona o financiranju jedinica lokalne i područne (regionalne) samouprave kojim  su propisane vrste poreza jedinica lokalne i područne (regionalne) samouprave kao jedan od izvora njihova financiranja. Kako bi iz naziva propisa bio razvidan njegov sadržaj odredbe Zakona podijeljene su na odredbe o financiranju te na odredbe o lokalnim porezima,uz izdvajanje odredaba o lokalnim porezima  u zasebni propis:</w:t>
      </w:r>
      <w:r w:rsidRPr="002E2FD9">
        <w:rPr>
          <w:b/>
          <w:sz w:val="22"/>
          <w:szCs w:val="24"/>
          <w:lang w:val="hr-HR"/>
        </w:rPr>
        <w:t>Zakon o lokalnim porezima</w:t>
      </w:r>
      <w:r w:rsidRPr="002E2FD9">
        <w:rPr>
          <w:sz w:val="22"/>
          <w:szCs w:val="24"/>
          <w:lang w:val="hr-HR"/>
        </w:rPr>
        <w:t xml:space="preserve">. Navedeni zakon je objavljen u Narodnim Novinama,broj 115/16,a stupio je na snagu 1.siječnja 2017.godine te u tom dijelu prestaju važiti odredbe Zakona o financiranju jedinica lokalne i područne (regionalne) samouprave. </w:t>
      </w:r>
    </w:p>
    <w:p w:rsidR="00BF5C5C" w:rsidRDefault="00BF5C5C" w:rsidP="00BF5C5C">
      <w:pPr>
        <w:spacing w:line="360" w:lineRule="auto"/>
        <w:rPr>
          <w:b/>
          <w:sz w:val="24"/>
          <w:szCs w:val="24"/>
          <w:lang w:val="hr-HR"/>
        </w:rPr>
      </w:pPr>
    </w:p>
    <w:p w:rsidR="00B76F4B" w:rsidRPr="00A93DBB" w:rsidRDefault="005C36D7" w:rsidP="00CB2D35">
      <w:pPr>
        <w:spacing w:line="360" w:lineRule="auto"/>
        <w:rPr>
          <w:b/>
          <w:sz w:val="24"/>
          <w:szCs w:val="24"/>
          <w:u w:val="single"/>
          <w:lang w:val="hr-HR"/>
        </w:rPr>
      </w:pPr>
      <w:r w:rsidRPr="00A93DBB">
        <w:rPr>
          <w:b/>
          <w:sz w:val="24"/>
          <w:szCs w:val="24"/>
          <w:u w:val="single"/>
          <w:lang w:val="hr-HR"/>
        </w:rPr>
        <w:t>1.Prirez porezu na dohodak</w:t>
      </w:r>
    </w:p>
    <w:p w:rsidR="005C36D7" w:rsidRPr="002E2FD9" w:rsidRDefault="005C36D7" w:rsidP="005C36D7">
      <w:pPr>
        <w:spacing w:line="360" w:lineRule="auto"/>
        <w:ind w:firstLine="720"/>
        <w:rPr>
          <w:sz w:val="22"/>
          <w:szCs w:val="24"/>
          <w:lang w:val="hr-HR"/>
        </w:rPr>
      </w:pPr>
    </w:p>
    <w:p w:rsidR="009B4B1B" w:rsidRPr="002E2FD9" w:rsidRDefault="005C36D7" w:rsidP="004D5B3D">
      <w:pPr>
        <w:spacing w:line="360" w:lineRule="auto"/>
        <w:ind w:firstLine="720"/>
        <w:jc w:val="both"/>
        <w:rPr>
          <w:sz w:val="22"/>
          <w:szCs w:val="24"/>
          <w:lang w:val="hr-HR"/>
        </w:rPr>
      </w:pPr>
      <w:r w:rsidRPr="002E2FD9">
        <w:rPr>
          <w:sz w:val="22"/>
          <w:szCs w:val="24"/>
          <w:lang w:val="hr-HR"/>
        </w:rPr>
        <w:t>Dana 02.prosinca 2005.godine Gradsko vijeće Grada Ludbrega donijelo je Odluku o izmjeni Odluke o prirezu porezu na dohodak kojom se prirez od 6% povećao na 12%.</w:t>
      </w:r>
      <w:r w:rsidR="00700B9F" w:rsidRPr="002E2FD9">
        <w:rPr>
          <w:sz w:val="22"/>
          <w:szCs w:val="24"/>
          <w:lang w:val="hr-HR"/>
        </w:rPr>
        <w:t xml:space="preserve"> </w:t>
      </w:r>
      <w:r w:rsidRPr="002E2FD9">
        <w:rPr>
          <w:sz w:val="22"/>
          <w:szCs w:val="24"/>
          <w:lang w:val="hr-HR"/>
        </w:rPr>
        <w:t>Primjenom stope prireza porezu na dohodak od 12% u 2007.godini naplaćeno je prireza u iznosu od 1.850.000,00 kuna. Dana 20.lipnja 2008.godine Gradsko vijeće Grada Ludbrega  na 29.sjednici donijelo je novu Odluku o izmjeni Odluke o prirezu porezu na dohodak kojom se prirez od 12% smanjio na 8%. Predloženim smanjenjem stope prireza na 8%  umanjeni su  prihodi proračuna po toj osnovi za 616.000,00 kuna godišnje.</w:t>
      </w:r>
      <w:r w:rsidR="00700B9F" w:rsidRPr="002E2FD9">
        <w:rPr>
          <w:sz w:val="22"/>
          <w:szCs w:val="24"/>
          <w:lang w:val="hr-HR"/>
        </w:rPr>
        <w:t xml:space="preserve"> </w:t>
      </w:r>
      <w:r w:rsidRPr="002E2FD9">
        <w:rPr>
          <w:sz w:val="22"/>
          <w:szCs w:val="24"/>
          <w:lang w:val="hr-HR"/>
        </w:rPr>
        <w:t>U razdoblju od 2008-201</w:t>
      </w:r>
      <w:r w:rsidR="00920B00">
        <w:rPr>
          <w:sz w:val="22"/>
          <w:szCs w:val="24"/>
          <w:lang w:val="hr-HR"/>
        </w:rPr>
        <w:t>7</w:t>
      </w:r>
      <w:r w:rsidRPr="002E2FD9">
        <w:rPr>
          <w:sz w:val="22"/>
          <w:szCs w:val="24"/>
          <w:lang w:val="hr-HR"/>
        </w:rPr>
        <w:t xml:space="preserve"> godine po tom osnovu Proračun Grada nije </w:t>
      </w:r>
      <w:proofErr w:type="spellStart"/>
      <w:r w:rsidRPr="002E2FD9">
        <w:rPr>
          <w:sz w:val="22"/>
          <w:szCs w:val="24"/>
          <w:lang w:val="hr-HR"/>
        </w:rPr>
        <w:t>uprihodovao</w:t>
      </w:r>
      <w:proofErr w:type="spellEnd"/>
      <w:r w:rsidRPr="002E2FD9">
        <w:rPr>
          <w:sz w:val="22"/>
          <w:szCs w:val="24"/>
          <w:lang w:val="hr-HR"/>
        </w:rPr>
        <w:t xml:space="preserve">  </w:t>
      </w:r>
      <w:r w:rsidR="00920B00">
        <w:rPr>
          <w:sz w:val="22"/>
          <w:szCs w:val="24"/>
          <w:lang w:val="hr-HR"/>
        </w:rPr>
        <w:t>5.544</w:t>
      </w:r>
      <w:r w:rsidRPr="002E2FD9">
        <w:rPr>
          <w:sz w:val="22"/>
          <w:szCs w:val="24"/>
          <w:lang w:val="hr-HR"/>
        </w:rPr>
        <w:t>.000 kuna.</w:t>
      </w:r>
      <w:r w:rsidR="00700B9F" w:rsidRPr="002E2FD9">
        <w:rPr>
          <w:sz w:val="22"/>
          <w:szCs w:val="24"/>
          <w:lang w:val="hr-HR"/>
        </w:rPr>
        <w:t xml:space="preserve"> </w:t>
      </w:r>
      <w:r w:rsidR="00D23F65">
        <w:rPr>
          <w:sz w:val="22"/>
          <w:szCs w:val="24"/>
          <w:lang w:val="hr-HR"/>
        </w:rPr>
        <w:t>Navedena činjenica negativno se je odrazila i na raspodjelu sredstava od poreza i prireza na dohodak  sukladno novom Zakonu o financiranju jedinica lokalne i područne (regionalne) samouprave koji je u svotu sredstava koju je JLS-a ostvarivala u zadnjih pet godina  uključila maksimalnu stopu prireza za gradove (stopa od 12 %),a Grad Ludbreg je imao stopu od 8%.</w:t>
      </w:r>
    </w:p>
    <w:p w:rsidR="009B4B1B" w:rsidRPr="002E2FD9" w:rsidRDefault="009B4B1B" w:rsidP="005C36D7">
      <w:pPr>
        <w:spacing w:line="360" w:lineRule="auto"/>
        <w:ind w:firstLine="720"/>
        <w:rPr>
          <w:sz w:val="22"/>
          <w:szCs w:val="24"/>
          <w:lang w:val="hr-HR"/>
        </w:rPr>
      </w:pPr>
    </w:p>
    <w:p w:rsidR="009B4B1B" w:rsidRDefault="009B4B1B" w:rsidP="005C36D7">
      <w:pPr>
        <w:spacing w:line="360" w:lineRule="auto"/>
        <w:ind w:firstLine="720"/>
        <w:rPr>
          <w:sz w:val="22"/>
          <w:szCs w:val="22"/>
          <w:lang w:val="hr-HR"/>
        </w:rPr>
      </w:pPr>
    </w:p>
    <w:p w:rsidR="009B4B1B" w:rsidRDefault="009B4B1B" w:rsidP="005C36D7">
      <w:pPr>
        <w:spacing w:line="360" w:lineRule="auto"/>
        <w:ind w:firstLine="720"/>
        <w:rPr>
          <w:sz w:val="22"/>
          <w:szCs w:val="22"/>
          <w:lang w:val="hr-HR"/>
        </w:rPr>
      </w:pPr>
    </w:p>
    <w:p w:rsidR="009B4B1B" w:rsidRDefault="009B4B1B" w:rsidP="005C36D7">
      <w:pPr>
        <w:spacing w:line="360" w:lineRule="auto"/>
        <w:ind w:firstLine="720"/>
        <w:rPr>
          <w:sz w:val="22"/>
          <w:szCs w:val="22"/>
          <w:lang w:val="hr-HR"/>
        </w:rPr>
      </w:pPr>
    </w:p>
    <w:p w:rsidR="002E2FD9" w:rsidRDefault="002E2FD9" w:rsidP="00A93DBB">
      <w:pPr>
        <w:spacing w:line="360" w:lineRule="auto"/>
        <w:ind w:firstLine="720"/>
        <w:rPr>
          <w:sz w:val="22"/>
          <w:szCs w:val="24"/>
          <w:lang w:val="hr-HR"/>
        </w:rPr>
      </w:pPr>
    </w:p>
    <w:p w:rsidR="003306D2" w:rsidRDefault="005C36D7" w:rsidP="004D5B3D">
      <w:pPr>
        <w:spacing w:line="360" w:lineRule="auto"/>
        <w:ind w:firstLine="720"/>
        <w:jc w:val="both"/>
        <w:rPr>
          <w:sz w:val="22"/>
          <w:szCs w:val="24"/>
          <w:lang w:val="hr-HR"/>
        </w:rPr>
      </w:pPr>
      <w:r w:rsidRPr="002E2FD9">
        <w:rPr>
          <w:sz w:val="22"/>
          <w:szCs w:val="24"/>
          <w:lang w:val="hr-HR"/>
        </w:rPr>
        <w:lastRenderedPageBreak/>
        <w:t xml:space="preserve">Napominjemo da je  člankom 8.Odluke o prirezu porezu na dohodak (Službeni vjesnik Varaždinske županije br.28/02) određeno da se </w:t>
      </w:r>
      <w:r w:rsidRPr="002E2FD9">
        <w:rPr>
          <w:b/>
          <w:sz w:val="22"/>
          <w:szCs w:val="24"/>
          <w:lang w:val="hr-HR"/>
        </w:rPr>
        <w:t>„sredstva prikupljena od prireza porezu na dohodak koriste za izgradnju školske sportske dvorane (tj.za otplatu kredita),rekonstrukciju zgrade učilišta,izgradnju svlačionica na gradskom stadionu i izgradnju komunalne infrastrukture“.</w:t>
      </w:r>
      <w:r w:rsidR="00700B9F" w:rsidRPr="002E2FD9">
        <w:rPr>
          <w:b/>
          <w:sz w:val="22"/>
          <w:szCs w:val="24"/>
          <w:lang w:val="hr-HR"/>
        </w:rPr>
        <w:t xml:space="preserve"> </w:t>
      </w:r>
      <w:r w:rsidRPr="002E2FD9">
        <w:rPr>
          <w:sz w:val="22"/>
          <w:szCs w:val="24"/>
          <w:lang w:val="hr-HR"/>
        </w:rPr>
        <w:t>Planom otplate kredita prema</w:t>
      </w:r>
      <w:r w:rsidRPr="002E2FD9">
        <w:rPr>
          <w:b/>
          <w:sz w:val="22"/>
          <w:szCs w:val="24"/>
          <w:lang w:val="hr-HR"/>
        </w:rPr>
        <w:t xml:space="preserve"> </w:t>
      </w:r>
      <w:r w:rsidRPr="002E2FD9">
        <w:rPr>
          <w:sz w:val="22"/>
          <w:szCs w:val="24"/>
          <w:lang w:val="hr-HR"/>
        </w:rPr>
        <w:t>HBOR-u za 201</w:t>
      </w:r>
      <w:r w:rsidR="00700B9F" w:rsidRPr="002E2FD9">
        <w:rPr>
          <w:sz w:val="22"/>
          <w:szCs w:val="24"/>
          <w:lang w:val="hr-HR"/>
        </w:rPr>
        <w:t>7</w:t>
      </w:r>
      <w:r w:rsidRPr="002E2FD9">
        <w:rPr>
          <w:sz w:val="22"/>
          <w:szCs w:val="24"/>
          <w:lang w:val="hr-HR"/>
        </w:rPr>
        <w:t>.godinu  osigurana su sredstva za povrat glavnice i kamata u ukupnom iznosu od 1.6</w:t>
      </w:r>
      <w:r w:rsidR="00F933A4" w:rsidRPr="002E2FD9">
        <w:rPr>
          <w:sz w:val="22"/>
          <w:szCs w:val="24"/>
          <w:lang w:val="hr-HR"/>
        </w:rPr>
        <w:t>0</w:t>
      </w:r>
      <w:r w:rsidRPr="002E2FD9">
        <w:rPr>
          <w:sz w:val="22"/>
          <w:szCs w:val="24"/>
          <w:lang w:val="hr-HR"/>
        </w:rPr>
        <w:t>0.000 kuna,dok se uz stopu prireza od 8% planira prihod od  1.300.000 kuna.</w:t>
      </w:r>
      <w:r w:rsidR="00962B0C">
        <w:rPr>
          <w:sz w:val="22"/>
          <w:szCs w:val="24"/>
          <w:lang w:val="hr-HR"/>
        </w:rPr>
        <w:t xml:space="preserve"> </w:t>
      </w:r>
      <w:r w:rsidR="00903970">
        <w:rPr>
          <w:sz w:val="22"/>
          <w:szCs w:val="24"/>
          <w:lang w:val="hr-HR"/>
        </w:rPr>
        <w:t xml:space="preserve">                                                                                                               </w:t>
      </w:r>
      <w:r w:rsidR="00700B9F" w:rsidRPr="002E2FD9">
        <w:rPr>
          <w:sz w:val="22"/>
          <w:szCs w:val="24"/>
          <w:lang w:val="hr-HR"/>
        </w:rPr>
        <w:t xml:space="preserve"> </w:t>
      </w:r>
      <w:r w:rsidRPr="002E2FD9">
        <w:rPr>
          <w:sz w:val="22"/>
          <w:szCs w:val="24"/>
          <w:lang w:val="hr-HR"/>
        </w:rPr>
        <w:t xml:space="preserve">Napominjemo da su troškovi izgradnje svlačionica i tribina na gradskom nogometnom stadionu Podravina Ludbreg iznosili 4.827.796 kuna,da se u izgradnju komunalne infrastrukture </w:t>
      </w:r>
      <w:r w:rsidR="00700B9F" w:rsidRPr="002E2FD9">
        <w:rPr>
          <w:sz w:val="22"/>
          <w:szCs w:val="24"/>
          <w:lang w:val="hr-HR"/>
        </w:rPr>
        <w:t xml:space="preserve">iz gradskog proračuna </w:t>
      </w:r>
      <w:r w:rsidRPr="002E2FD9">
        <w:rPr>
          <w:sz w:val="22"/>
          <w:szCs w:val="24"/>
          <w:lang w:val="hr-HR"/>
        </w:rPr>
        <w:t>godišnje ulaže prosječno cca.3.000.000 kuna, a da se sa ozbiljnijom rekonstrukcijom zgrade učilišta nije niti započelo.</w:t>
      </w:r>
    </w:p>
    <w:p w:rsidR="00962B0C" w:rsidRDefault="003306D2" w:rsidP="004D5B3D">
      <w:pPr>
        <w:spacing w:line="360" w:lineRule="auto"/>
        <w:ind w:firstLine="720"/>
        <w:jc w:val="both"/>
        <w:rPr>
          <w:sz w:val="22"/>
          <w:szCs w:val="24"/>
          <w:lang w:val="hr-HR"/>
        </w:rPr>
      </w:pPr>
      <w:r>
        <w:rPr>
          <w:sz w:val="22"/>
          <w:szCs w:val="24"/>
          <w:lang w:val="hr-HR"/>
        </w:rPr>
        <w:t>Posebnu pažnju potrebno je posvetiti projektima financiranih iz sredstava Europske unije.</w:t>
      </w:r>
      <w:r w:rsidR="00700B9F" w:rsidRPr="002E2FD9">
        <w:rPr>
          <w:sz w:val="22"/>
          <w:szCs w:val="24"/>
          <w:lang w:val="hr-HR"/>
        </w:rPr>
        <w:t xml:space="preserve"> </w:t>
      </w:r>
      <w:r w:rsidR="005C36D7" w:rsidRPr="002E2FD9">
        <w:rPr>
          <w:sz w:val="22"/>
          <w:szCs w:val="24"/>
          <w:lang w:val="hr-HR"/>
        </w:rPr>
        <w:t xml:space="preserve">Projekt koji je </w:t>
      </w:r>
      <w:r w:rsidR="00962B0C">
        <w:rPr>
          <w:sz w:val="22"/>
          <w:szCs w:val="24"/>
          <w:lang w:val="hr-HR"/>
        </w:rPr>
        <w:t>već započeo</w:t>
      </w:r>
      <w:r w:rsidR="005C36D7" w:rsidRPr="002E2FD9">
        <w:rPr>
          <w:sz w:val="22"/>
          <w:szCs w:val="24"/>
          <w:lang w:val="hr-HR"/>
        </w:rPr>
        <w:t xml:space="preserve"> odnosi se na obnovu </w:t>
      </w:r>
      <w:r w:rsidR="00962B0C">
        <w:rPr>
          <w:sz w:val="22"/>
          <w:szCs w:val="24"/>
          <w:lang w:val="hr-HR"/>
        </w:rPr>
        <w:t xml:space="preserve"> kulturne baštine-Park </w:t>
      </w:r>
      <w:proofErr w:type="spellStart"/>
      <w:r w:rsidR="00962B0C">
        <w:rPr>
          <w:sz w:val="22"/>
          <w:szCs w:val="24"/>
          <w:lang w:val="hr-HR"/>
        </w:rPr>
        <w:t>Iovia</w:t>
      </w:r>
      <w:proofErr w:type="spellEnd"/>
      <w:r w:rsidR="00962B0C">
        <w:rPr>
          <w:sz w:val="22"/>
          <w:szCs w:val="24"/>
          <w:lang w:val="hr-HR"/>
        </w:rPr>
        <w:t xml:space="preserve">, čija </w:t>
      </w:r>
      <w:r w:rsidR="005C36D7" w:rsidRPr="002E2FD9">
        <w:rPr>
          <w:sz w:val="22"/>
          <w:szCs w:val="24"/>
          <w:lang w:val="hr-HR"/>
        </w:rPr>
        <w:t xml:space="preserve"> vrijednost </w:t>
      </w:r>
      <w:r w:rsidR="00962B0C">
        <w:rPr>
          <w:sz w:val="22"/>
          <w:szCs w:val="24"/>
          <w:lang w:val="hr-HR"/>
        </w:rPr>
        <w:t xml:space="preserve"> iznosi</w:t>
      </w:r>
      <w:r w:rsidR="005C36D7" w:rsidRPr="002E2FD9">
        <w:rPr>
          <w:sz w:val="22"/>
          <w:szCs w:val="24"/>
          <w:lang w:val="hr-HR"/>
        </w:rPr>
        <w:t xml:space="preserve"> 17.000.000 kuna</w:t>
      </w:r>
      <w:r w:rsidR="00964D5D">
        <w:rPr>
          <w:sz w:val="22"/>
          <w:szCs w:val="24"/>
          <w:lang w:val="hr-HR"/>
        </w:rPr>
        <w:t>,</w:t>
      </w:r>
      <w:r w:rsidR="00962B0C">
        <w:rPr>
          <w:sz w:val="22"/>
          <w:szCs w:val="24"/>
          <w:lang w:val="hr-HR"/>
        </w:rPr>
        <w:t xml:space="preserve"> od čega Grad mora izdvojiti vlastita sredstva u iznosu od </w:t>
      </w:r>
      <w:r w:rsidR="00352EE3">
        <w:rPr>
          <w:sz w:val="22"/>
          <w:szCs w:val="24"/>
          <w:lang w:val="hr-HR"/>
        </w:rPr>
        <w:t xml:space="preserve">15% </w:t>
      </w:r>
      <w:r>
        <w:rPr>
          <w:sz w:val="22"/>
          <w:szCs w:val="24"/>
          <w:lang w:val="hr-HR"/>
        </w:rPr>
        <w:t xml:space="preserve"> u slijedeće tri godine</w:t>
      </w:r>
      <w:r w:rsidR="00962B0C">
        <w:rPr>
          <w:sz w:val="22"/>
          <w:szCs w:val="24"/>
          <w:lang w:val="hr-HR"/>
        </w:rPr>
        <w:t>.</w:t>
      </w:r>
    </w:p>
    <w:p w:rsidR="003306D2" w:rsidRDefault="003306D2" w:rsidP="004D5B3D">
      <w:pPr>
        <w:spacing w:line="360" w:lineRule="auto"/>
        <w:ind w:firstLine="720"/>
        <w:jc w:val="both"/>
        <w:rPr>
          <w:sz w:val="22"/>
          <w:szCs w:val="24"/>
          <w:lang w:val="hr-HR"/>
        </w:rPr>
      </w:pPr>
      <w:r>
        <w:rPr>
          <w:sz w:val="22"/>
          <w:szCs w:val="24"/>
          <w:lang w:val="hr-HR"/>
        </w:rPr>
        <w:t xml:space="preserve">Projekti </w:t>
      </w:r>
      <w:r w:rsidR="00191D6A">
        <w:rPr>
          <w:sz w:val="22"/>
          <w:szCs w:val="24"/>
          <w:lang w:val="hr-HR"/>
        </w:rPr>
        <w:t xml:space="preserve">koji su također započeli </w:t>
      </w:r>
      <w:r>
        <w:rPr>
          <w:sz w:val="22"/>
          <w:szCs w:val="24"/>
          <w:lang w:val="hr-HR"/>
        </w:rPr>
        <w:t xml:space="preserve"> i trajati će slijedeće dvije godine su:“ Zeleno želimo“,“ </w:t>
      </w:r>
      <w:proofErr w:type="spellStart"/>
      <w:r>
        <w:rPr>
          <w:sz w:val="22"/>
          <w:szCs w:val="24"/>
          <w:lang w:val="hr-HR"/>
        </w:rPr>
        <w:t>Ecosmartcities</w:t>
      </w:r>
      <w:proofErr w:type="spellEnd"/>
      <w:r>
        <w:rPr>
          <w:sz w:val="22"/>
          <w:szCs w:val="24"/>
          <w:lang w:val="hr-HR"/>
        </w:rPr>
        <w:t>“,“</w:t>
      </w:r>
      <w:proofErr w:type="spellStart"/>
      <w:r>
        <w:rPr>
          <w:sz w:val="22"/>
          <w:szCs w:val="24"/>
          <w:lang w:val="hr-HR"/>
        </w:rPr>
        <w:t>Desco</w:t>
      </w:r>
      <w:proofErr w:type="spellEnd"/>
      <w:r>
        <w:rPr>
          <w:sz w:val="22"/>
          <w:szCs w:val="24"/>
          <w:lang w:val="hr-HR"/>
        </w:rPr>
        <w:t xml:space="preserve">“ i“ </w:t>
      </w:r>
      <w:proofErr w:type="spellStart"/>
      <w:r>
        <w:rPr>
          <w:sz w:val="22"/>
          <w:szCs w:val="24"/>
          <w:lang w:val="hr-HR"/>
        </w:rPr>
        <w:t>Happy</w:t>
      </w:r>
      <w:proofErr w:type="spellEnd"/>
      <w:r>
        <w:rPr>
          <w:sz w:val="22"/>
          <w:szCs w:val="24"/>
          <w:lang w:val="hr-HR"/>
        </w:rPr>
        <w:t xml:space="preserve"> </w:t>
      </w:r>
      <w:proofErr w:type="spellStart"/>
      <w:r>
        <w:rPr>
          <w:sz w:val="22"/>
          <w:szCs w:val="24"/>
          <w:lang w:val="hr-HR"/>
        </w:rPr>
        <w:t>bike</w:t>
      </w:r>
      <w:proofErr w:type="spellEnd"/>
      <w:r>
        <w:rPr>
          <w:sz w:val="22"/>
          <w:szCs w:val="24"/>
          <w:lang w:val="hr-HR"/>
        </w:rPr>
        <w:t>“</w:t>
      </w:r>
      <w:proofErr w:type="spellStart"/>
      <w:r>
        <w:rPr>
          <w:sz w:val="22"/>
          <w:szCs w:val="24"/>
          <w:lang w:val="hr-HR"/>
        </w:rPr>
        <w:t>.Vrijednost</w:t>
      </w:r>
      <w:proofErr w:type="spellEnd"/>
      <w:r>
        <w:rPr>
          <w:sz w:val="22"/>
          <w:szCs w:val="24"/>
          <w:lang w:val="hr-HR"/>
        </w:rPr>
        <w:t xml:space="preserve"> navedenih projekata iznosi 3.800.000 kuna od čega Grad mora osigurati 15% sredstava</w:t>
      </w:r>
      <w:r w:rsidR="007D7DC6">
        <w:rPr>
          <w:sz w:val="22"/>
          <w:szCs w:val="24"/>
          <w:lang w:val="hr-HR"/>
        </w:rPr>
        <w:t>.</w:t>
      </w:r>
    </w:p>
    <w:p w:rsidR="00D90E27" w:rsidRDefault="003306D2" w:rsidP="004D5B3D">
      <w:pPr>
        <w:spacing w:line="360" w:lineRule="auto"/>
        <w:ind w:firstLine="720"/>
        <w:jc w:val="both"/>
        <w:rPr>
          <w:sz w:val="22"/>
          <w:szCs w:val="24"/>
          <w:lang w:val="hr-HR"/>
        </w:rPr>
      </w:pPr>
      <w:r>
        <w:rPr>
          <w:sz w:val="22"/>
          <w:szCs w:val="24"/>
          <w:lang w:val="hr-HR"/>
        </w:rPr>
        <w:t xml:space="preserve">U </w:t>
      </w:r>
      <w:r w:rsidR="00962B0C" w:rsidRPr="002E2FD9">
        <w:rPr>
          <w:sz w:val="22"/>
          <w:szCs w:val="24"/>
          <w:lang w:val="hr-HR"/>
        </w:rPr>
        <w:t xml:space="preserve"> 201</w:t>
      </w:r>
      <w:r w:rsidR="00962B0C">
        <w:rPr>
          <w:sz w:val="22"/>
          <w:szCs w:val="24"/>
          <w:lang w:val="hr-HR"/>
        </w:rPr>
        <w:t>8</w:t>
      </w:r>
      <w:r w:rsidR="00962B0C" w:rsidRPr="002E2FD9">
        <w:rPr>
          <w:sz w:val="22"/>
          <w:szCs w:val="24"/>
          <w:lang w:val="hr-HR"/>
        </w:rPr>
        <w:t>.godin</w:t>
      </w:r>
      <w:r>
        <w:rPr>
          <w:sz w:val="22"/>
          <w:szCs w:val="24"/>
          <w:lang w:val="hr-HR"/>
        </w:rPr>
        <w:t>i</w:t>
      </w:r>
      <w:r w:rsidR="00962B0C" w:rsidRPr="002E2FD9">
        <w:rPr>
          <w:sz w:val="22"/>
          <w:szCs w:val="24"/>
          <w:lang w:val="hr-HR"/>
        </w:rPr>
        <w:t xml:space="preserve"> u planu je realizacija projekata Ruralnog razvoja i to:  izgradnja nerazvrstanih cesta i parkirališta,dogradnja dječjeg vrtića Radost,</w:t>
      </w:r>
      <w:r w:rsidR="00605129">
        <w:rPr>
          <w:sz w:val="22"/>
          <w:szCs w:val="24"/>
          <w:lang w:val="hr-HR"/>
        </w:rPr>
        <w:t xml:space="preserve">rekonstrukcija zgrade Centra za kulturu </w:t>
      </w:r>
      <w:r w:rsidR="00962B0C" w:rsidRPr="002E2FD9">
        <w:rPr>
          <w:sz w:val="22"/>
          <w:szCs w:val="24"/>
          <w:lang w:val="hr-HR"/>
        </w:rPr>
        <w:t>Ludbreg</w:t>
      </w:r>
      <w:r w:rsidR="001B56BB">
        <w:rPr>
          <w:sz w:val="22"/>
          <w:szCs w:val="24"/>
          <w:lang w:val="hr-HR"/>
        </w:rPr>
        <w:t xml:space="preserve"> </w:t>
      </w:r>
      <w:r w:rsidR="00962B0C" w:rsidRPr="002E2FD9">
        <w:rPr>
          <w:sz w:val="22"/>
          <w:szCs w:val="24"/>
          <w:lang w:val="hr-HR"/>
        </w:rPr>
        <w:t xml:space="preserve"> i izgradnja centralnog dječjeg igrališta. Vrijednost ovi</w:t>
      </w:r>
      <w:r>
        <w:rPr>
          <w:sz w:val="22"/>
          <w:szCs w:val="24"/>
          <w:lang w:val="hr-HR"/>
        </w:rPr>
        <w:t>h radova iznosi 6.000.000  kuna.</w:t>
      </w:r>
      <w:r w:rsidR="007508C2">
        <w:rPr>
          <w:sz w:val="22"/>
          <w:szCs w:val="24"/>
          <w:lang w:val="hr-HR"/>
        </w:rPr>
        <w:t xml:space="preserve"> Također u planu za 2018.godinu je izgradnja </w:t>
      </w:r>
      <w:proofErr w:type="spellStart"/>
      <w:r w:rsidR="007508C2">
        <w:rPr>
          <w:sz w:val="22"/>
          <w:szCs w:val="24"/>
          <w:lang w:val="hr-HR"/>
        </w:rPr>
        <w:t>reciklažnog</w:t>
      </w:r>
      <w:proofErr w:type="spellEnd"/>
      <w:r w:rsidR="007508C2">
        <w:rPr>
          <w:sz w:val="22"/>
          <w:szCs w:val="24"/>
          <w:lang w:val="hr-HR"/>
        </w:rPr>
        <w:t xml:space="preserve"> dvorišta u iznosu od 5.350.000 kuna od čega učešće grada iznosi </w:t>
      </w:r>
      <w:r w:rsidR="007D7DC6">
        <w:rPr>
          <w:sz w:val="22"/>
          <w:szCs w:val="24"/>
          <w:lang w:val="hr-HR"/>
        </w:rPr>
        <w:t xml:space="preserve">15% sredstava ,dok </w:t>
      </w:r>
      <w:r w:rsidR="007508C2">
        <w:rPr>
          <w:sz w:val="22"/>
          <w:szCs w:val="24"/>
          <w:lang w:val="hr-HR"/>
        </w:rPr>
        <w:t xml:space="preserve"> 4.225.000 kuna daje MRRFEU</w:t>
      </w:r>
      <w:r w:rsidR="001B548E">
        <w:rPr>
          <w:sz w:val="22"/>
          <w:szCs w:val="24"/>
          <w:lang w:val="hr-HR"/>
        </w:rPr>
        <w:t xml:space="preserve"> iz </w:t>
      </w:r>
      <w:r w:rsidR="00D55216">
        <w:rPr>
          <w:sz w:val="22"/>
          <w:szCs w:val="24"/>
          <w:lang w:val="hr-HR"/>
        </w:rPr>
        <w:t>EU sredstava.</w:t>
      </w:r>
    </w:p>
    <w:p w:rsidR="003306D2" w:rsidRDefault="00D90E27" w:rsidP="004D5B3D">
      <w:pPr>
        <w:spacing w:line="360" w:lineRule="auto"/>
        <w:ind w:firstLine="720"/>
        <w:jc w:val="both"/>
        <w:rPr>
          <w:sz w:val="22"/>
          <w:szCs w:val="24"/>
          <w:lang w:val="hr-HR"/>
        </w:rPr>
      </w:pPr>
      <w:r>
        <w:rPr>
          <w:sz w:val="22"/>
          <w:szCs w:val="24"/>
          <w:lang w:val="hr-HR"/>
        </w:rPr>
        <w:t xml:space="preserve">Najznačajniji i financijski najveći projekt čija se realizacija planira kroz naredne tri godine je izgradnja kanalizacije na području cijelog grada Ludbrega </w:t>
      </w:r>
      <w:r w:rsidR="00CE7E2F">
        <w:rPr>
          <w:sz w:val="22"/>
          <w:szCs w:val="24"/>
          <w:lang w:val="hr-HR"/>
        </w:rPr>
        <w:t xml:space="preserve">i pročistača otpadnih voda </w:t>
      </w:r>
      <w:r>
        <w:rPr>
          <w:sz w:val="22"/>
          <w:szCs w:val="24"/>
          <w:lang w:val="hr-HR"/>
        </w:rPr>
        <w:t xml:space="preserve">za </w:t>
      </w:r>
      <w:r w:rsidR="00F55D0C">
        <w:rPr>
          <w:sz w:val="22"/>
          <w:szCs w:val="24"/>
          <w:lang w:val="hr-HR"/>
        </w:rPr>
        <w:t>koji je potrebno izdvojiti 4% od ukupno procijenjenih radova od 1</w:t>
      </w:r>
      <w:r w:rsidR="00506F6E">
        <w:rPr>
          <w:sz w:val="22"/>
          <w:szCs w:val="24"/>
          <w:lang w:val="hr-HR"/>
        </w:rPr>
        <w:t>9</w:t>
      </w:r>
      <w:r w:rsidR="00F55D0C">
        <w:rPr>
          <w:sz w:val="22"/>
          <w:szCs w:val="24"/>
          <w:lang w:val="hr-HR"/>
        </w:rPr>
        <w:t xml:space="preserve">0.000.000 kuna što iznosi </w:t>
      </w:r>
      <w:r w:rsidR="00506F6E">
        <w:rPr>
          <w:sz w:val="22"/>
          <w:szCs w:val="24"/>
          <w:lang w:val="hr-HR"/>
        </w:rPr>
        <w:t>7.6</w:t>
      </w:r>
      <w:r w:rsidR="00F55D0C">
        <w:rPr>
          <w:sz w:val="22"/>
          <w:szCs w:val="24"/>
          <w:lang w:val="hr-HR"/>
        </w:rPr>
        <w:t>00.000 kuna.</w:t>
      </w:r>
    </w:p>
    <w:p w:rsidR="00A93DBB" w:rsidRPr="002E2FD9" w:rsidRDefault="00700B9F" w:rsidP="004D5B3D">
      <w:pPr>
        <w:spacing w:line="360" w:lineRule="auto"/>
        <w:jc w:val="both"/>
        <w:rPr>
          <w:sz w:val="22"/>
          <w:szCs w:val="24"/>
          <w:lang w:val="hr-HR"/>
        </w:rPr>
      </w:pPr>
      <w:r w:rsidRPr="002E2FD9">
        <w:rPr>
          <w:sz w:val="22"/>
          <w:szCs w:val="24"/>
          <w:lang w:val="hr-HR"/>
        </w:rPr>
        <w:t xml:space="preserve"> </w:t>
      </w:r>
      <w:r w:rsidR="004D5B3D">
        <w:rPr>
          <w:sz w:val="22"/>
          <w:szCs w:val="24"/>
          <w:lang w:val="hr-HR"/>
        </w:rPr>
        <w:tab/>
      </w:r>
      <w:r w:rsidR="005C36D7" w:rsidRPr="002E2FD9">
        <w:rPr>
          <w:sz w:val="22"/>
          <w:szCs w:val="24"/>
          <w:lang w:val="hr-HR"/>
        </w:rPr>
        <w:t>Na temelju naprijed iznesenih činjenica vidljivo je da sredstva prireza na bazi stope od  8% nisu dostatna za financiranje namjena utvrđenih Odlukom o prirezu.</w:t>
      </w:r>
    </w:p>
    <w:p w:rsidR="005C36D7" w:rsidRPr="002E2FD9" w:rsidRDefault="005C36D7" w:rsidP="004D5B3D">
      <w:pPr>
        <w:spacing w:line="360" w:lineRule="auto"/>
        <w:ind w:firstLine="720"/>
        <w:jc w:val="both"/>
        <w:rPr>
          <w:sz w:val="22"/>
          <w:szCs w:val="24"/>
          <w:lang w:val="hr-HR"/>
        </w:rPr>
      </w:pPr>
      <w:r w:rsidRPr="002E2FD9">
        <w:rPr>
          <w:sz w:val="22"/>
          <w:szCs w:val="24"/>
          <w:lang w:val="hr-HR"/>
        </w:rPr>
        <w:t xml:space="preserve">Također  neće biti moguće pratiti realizaciju Programa financiranih iz  fondova Europske unije , a znamo da uz sufinanciranje ili premoštenje financiranja možemo povući višestruko veća sredstva. Na temelju svih naprijed iznesenih činjenica  </w:t>
      </w:r>
      <w:r w:rsidR="00700B9F" w:rsidRPr="002E2FD9">
        <w:rPr>
          <w:sz w:val="22"/>
          <w:szCs w:val="24"/>
          <w:lang w:val="hr-HR"/>
        </w:rPr>
        <w:t xml:space="preserve">Odlukom o gradskim porezima </w:t>
      </w:r>
      <w:r w:rsidRPr="002E2FD9">
        <w:rPr>
          <w:sz w:val="22"/>
          <w:szCs w:val="24"/>
          <w:lang w:val="hr-HR"/>
        </w:rPr>
        <w:t xml:space="preserve">predložena je  </w:t>
      </w:r>
      <w:r w:rsidR="00700B9F" w:rsidRPr="002E2FD9">
        <w:rPr>
          <w:sz w:val="22"/>
          <w:szCs w:val="24"/>
          <w:lang w:val="hr-HR"/>
        </w:rPr>
        <w:t>stopa prireza od 12 %.</w:t>
      </w:r>
      <w:r w:rsidRPr="002E2FD9">
        <w:rPr>
          <w:sz w:val="22"/>
          <w:szCs w:val="24"/>
          <w:lang w:val="hr-HR"/>
        </w:rPr>
        <w:t xml:space="preserve"> </w:t>
      </w:r>
    </w:p>
    <w:p w:rsidR="00355398" w:rsidRDefault="00355398" w:rsidP="00CB2D35">
      <w:pPr>
        <w:tabs>
          <w:tab w:val="left" w:pos="5340"/>
        </w:tabs>
        <w:spacing w:line="360" w:lineRule="auto"/>
        <w:rPr>
          <w:b/>
          <w:sz w:val="22"/>
          <w:szCs w:val="24"/>
          <w:u w:val="single"/>
          <w:lang w:val="hr-HR"/>
        </w:rPr>
      </w:pPr>
    </w:p>
    <w:p w:rsidR="00355398" w:rsidRDefault="00355398" w:rsidP="00CB2D35">
      <w:pPr>
        <w:tabs>
          <w:tab w:val="left" w:pos="5340"/>
        </w:tabs>
        <w:spacing w:line="360" w:lineRule="auto"/>
        <w:rPr>
          <w:b/>
          <w:sz w:val="22"/>
          <w:szCs w:val="24"/>
          <w:u w:val="single"/>
          <w:lang w:val="hr-HR"/>
        </w:rPr>
      </w:pPr>
    </w:p>
    <w:p w:rsidR="00992AF1" w:rsidRDefault="00992AF1" w:rsidP="00CB2D35">
      <w:pPr>
        <w:tabs>
          <w:tab w:val="left" w:pos="5340"/>
        </w:tabs>
        <w:spacing w:line="360" w:lineRule="auto"/>
        <w:rPr>
          <w:b/>
          <w:sz w:val="22"/>
          <w:szCs w:val="24"/>
          <w:u w:val="single"/>
          <w:lang w:val="hr-HR"/>
        </w:rPr>
      </w:pPr>
    </w:p>
    <w:p w:rsidR="00B76F4B" w:rsidRPr="002E2FD9" w:rsidRDefault="00A93DBB" w:rsidP="00CB2D35">
      <w:pPr>
        <w:tabs>
          <w:tab w:val="left" w:pos="5340"/>
        </w:tabs>
        <w:spacing w:line="360" w:lineRule="auto"/>
        <w:rPr>
          <w:b/>
          <w:sz w:val="22"/>
          <w:szCs w:val="24"/>
          <w:u w:val="single"/>
          <w:lang w:val="hr-HR"/>
        </w:rPr>
      </w:pPr>
      <w:r w:rsidRPr="002E2FD9">
        <w:rPr>
          <w:b/>
          <w:sz w:val="22"/>
          <w:szCs w:val="24"/>
          <w:u w:val="single"/>
          <w:lang w:val="hr-HR"/>
        </w:rPr>
        <w:t>2.Porez na potrošnju</w:t>
      </w:r>
    </w:p>
    <w:p w:rsidR="00A93DBB" w:rsidRPr="002E2FD9" w:rsidRDefault="00A93DBB" w:rsidP="004D5B3D">
      <w:pPr>
        <w:ind w:firstLine="720"/>
        <w:jc w:val="both"/>
        <w:rPr>
          <w:sz w:val="24"/>
          <w:szCs w:val="24"/>
          <w:lang w:val="hr-HR"/>
        </w:rPr>
      </w:pPr>
      <w:r w:rsidRPr="002E2FD9">
        <w:rPr>
          <w:sz w:val="24"/>
          <w:szCs w:val="24"/>
          <w:lang w:val="hr-HR"/>
        </w:rPr>
        <w:t>Porez na potrošnju plaća se na potrošnju alkoholnih pića (vinjak,rakiju i žestoka pića),prirodnih vina,specijaliziranih vina,piva i bezalkoholnih pića u ugostiteljskim objektima.</w:t>
      </w:r>
    </w:p>
    <w:p w:rsidR="00A93DBB" w:rsidRPr="002E2FD9" w:rsidRDefault="00A93DBB" w:rsidP="004D5B3D">
      <w:pPr>
        <w:ind w:firstLine="720"/>
        <w:jc w:val="both"/>
        <w:rPr>
          <w:sz w:val="24"/>
          <w:szCs w:val="24"/>
          <w:lang w:val="hr-HR"/>
        </w:rPr>
      </w:pPr>
      <w:r w:rsidRPr="002E2FD9">
        <w:rPr>
          <w:sz w:val="24"/>
          <w:szCs w:val="24"/>
          <w:lang w:val="hr-HR"/>
        </w:rPr>
        <w:t xml:space="preserve">Porez na potrošnju plaća se po </w:t>
      </w:r>
      <w:r w:rsidR="003B4A82" w:rsidRPr="002E2FD9">
        <w:rPr>
          <w:sz w:val="24"/>
          <w:szCs w:val="24"/>
          <w:lang w:val="hr-HR"/>
        </w:rPr>
        <w:t xml:space="preserve">zakonom utvrđenoj </w:t>
      </w:r>
      <w:r w:rsidRPr="002E2FD9">
        <w:rPr>
          <w:sz w:val="24"/>
          <w:szCs w:val="24"/>
          <w:lang w:val="hr-HR"/>
        </w:rPr>
        <w:t xml:space="preserve"> stopi od 3% sukladno Zakonu o lokalnim porezima.</w:t>
      </w:r>
    </w:p>
    <w:p w:rsidR="002E2FD9" w:rsidRDefault="002E2FD9" w:rsidP="004D5B3D">
      <w:pPr>
        <w:tabs>
          <w:tab w:val="left" w:pos="5340"/>
        </w:tabs>
        <w:spacing w:line="360" w:lineRule="auto"/>
        <w:jc w:val="both"/>
        <w:rPr>
          <w:b/>
          <w:sz w:val="24"/>
          <w:szCs w:val="24"/>
          <w:u w:val="single"/>
          <w:lang w:val="hr-HR"/>
        </w:rPr>
      </w:pPr>
    </w:p>
    <w:p w:rsidR="00327919" w:rsidRDefault="00327919" w:rsidP="00CB2D35">
      <w:pPr>
        <w:tabs>
          <w:tab w:val="left" w:pos="5340"/>
        </w:tabs>
        <w:spacing w:line="360" w:lineRule="auto"/>
        <w:rPr>
          <w:b/>
          <w:sz w:val="24"/>
          <w:szCs w:val="24"/>
          <w:u w:val="single"/>
          <w:lang w:val="hr-HR"/>
        </w:rPr>
      </w:pPr>
      <w:r w:rsidRPr="00327919">
        <w:rPr>
          <w:b/>
          <w:sz w:val="24"/>
          <w:szCs w:val="24"/>
          <w:u w:val="single"/>
          <w:lang w:val="hr-HR"/>
        </w:rPr>
        <w:t>3.</w:t>
      </w:r>
      <w:r>
        <w:rPr>
          <w:b/>
          <w:sz w:val="24"/>
          <w:szCs w:val="24"/>
          <w:u w:val="single"/>
          <w:lang w:val="hr-HR"/>
        </w:rPr>
        <w:t>P</w:t>
      </w:r>
      <w:r w:rsidRPr="00327919">
        <w:rPr>
          <w:b/>
          <w:sz w:val="24"/>
          <w:szCs w:val="24"/>
          <w:u w:val="single"/>
          <w:lang w:val="hr-HR"/>
        </w:rPr>
        <w:t>orez na kuće za odmor</w:t>
      </w:r>
    </w:p>
    <w:p w:rsidR="00DE4AF9" w:rsidRDefault="00DE4AF9" w:rsidP="00DE4AF9">
      <w:pPr>
        <w:ind w:firstLine="720"/>
        <w:rPr>
          <w:sz w:val="24"/>
          <w:szCs w:val="24"/>
          <w:lang w:val="hr-HR"/>
        </w:rPr>
      </w:pPr>
    </w:p>
    <w:p w:rsidR="00223BFF" w:rsidRDefault="00DE4AF9" w:rsidP="004D5B3D">
      <w:pPr>
        <w:ind w:firstLine="720"/>
        <w:jc w:val="both"/>
        <w:rPr>
          <w:sz w:val="24"/>
          <w:szCs w:val="24"/>
          <w:lang w:val="hr-HR"/>
        </w:rPr>
      </w:pPr>
      <w:r>
        <w:rPr>
          <w:sz w:val="24"/>
          <w:szCs w:val="24"/>
          <w:lang w:val="hr-HR"/>
        </w:rPr>
        <w:t>Porez na kuće za odmor plaćaju pravne i fizičke osobe koje su vlasnici kuća za odmor.</w:t>
      </w:r>
    </w:p>
    <w:p w:rsidR="00F819F1" w:rsidRDefault="00223BFF" w:rsidP="004D5B3D">
      <w:pPr>
        <w:ind w:firstLine="720"/>
        <w:jc w:val="both"/>
        <w:rPr>
          <w:sz w:val="24"/>
          <w:szCs w:val="24"/>
          <w:lang w:val="hr-HR"/>
        </w:rPr>
      </w:pPr>
      <w:r>
        <w:rPr>
          <w:sz w:val="24"/>
          <w:szCs w:val="24"/>
          <w:lang w:val="hr-HR"/>
        </w:rPr>
        <w:t>Porez na kuće za odmor plaća se od 5 do 15 kuna/m2 korisne površine kuće za odmor.</w:t>
      </w:r>
    </w:p>
    <w:p w:rsidR="00223BFF" w:rsidRDefault="00E66478" w:rsidP="004D5B3D">
      <w:pPr>
        <w:ind w:firstLine="720"/>
        <w:jc w:val="both"/>
        <w:rPr>
          <w:sz w:val="24"/>
          <w:szCs w:val="24"/>
          <w:lang w:val="hr-HR"/>
        </w:rPr>
      </w:pPr>
      <w:r>
        <w:rPr>
          <w:sz w:val="24"/>
          <w:szCs w:val="24"/>
          <w:lang w:val="hr-HR"/>
        </w:rPr>
        <w:t>Kućom za odmor smatra se svaka zgrada,dio zgrade ili stan ako se koristi povremeno ili sezonski. Koristi li se zgrada ili stan povremeno ili sezonski,određuje se prema stvarnom prebivalištu vlasnika. Pri određivanju poreza na kuće za odmor, prisutne</w:t>
      </w:r>
      <w:r w:rsidR="00223BFF">
        <w:rPr>
          <w:sz w:val="24"/>
          <w:szCs w:val="24"/>
          <w:lang w:val="hr-HR"/>
        </w:rPr>
        <w:t xml:space="preserve"> su </w:t>
      </w:r>
      <w:r>
        <w:rPr>
          <w:sz w:val="24"/>
          <w:szCs w:val="24"/>
          <w:lang w:val="hr-HR"/>
        </w:rPr>
        <w:t xml:space="preserve"> dvojbe oko utvrđivanja razlike između klijeti  i kuće za odmor.</w:t>
      </w:r>
    </w:p>
    <w:p w:rsidR="00E66478" w:rsidRDefault="00E66478" w:rsidP="004D5B3D">
      <w:pPr>
        <w:ind w:firstLine="720"/>
        <w:jc w:val="both"/>
        <w:rPr>
          <w:sz w:val="24"/>
          <w:szCs w:val="24"/>
          <w:lang w:val="hr-HR"/>
        </w:rPr>
      </w:pPr>
      <w:r>
        <w:rPr>
          <w:sz w:val="24"/>
          <w:szCs w:val="24"/>
          <w:lang w:val="hr-HR"/>
        </w:rPr>
        <w:t>Za njihovo razl</w:t>
      </w:r>
      <w:r w:rsidR="000F4EE1">
        <w:rPr>
          <w:sz w:val="24"/>
          <w:szCs w:val="24"/>
          <w:lang w:val="hr-HR"/>
        </w:rPr>
        <w:t>i</w:t>
      </w:r>
      <w:r>
        <w:rPr>
          <w:sz w:val="24"/>
          <w:szCs w:val="24"/>
          <w:lang w:val="hr-HR"/>
        </w:rPr>
        <w:t xml:space="preserve">kovanje nije bitna površina kao ni uređenost ili opremljenost zgrade,već činjenica koristi li se zgrada povremeno za odmor </w:t>
      </w:r>
      <w:r w:rsidR="000F4EE1">
        <w:rPr>
          <w:sz w:val="24"/>
          <w:szCs w:val="24"/>
          <w:lang w:val="hr-HR"/>
        </w:rPr>
        <w:t>i oporavak ili ne. Ako se neka zgrada koristi i kao gospodarski objekt i kao zgrada za odmor ,porez se utvrđuje samo za onaj dio zgrade koji se koristi za odmor.</w:t>
      </w:r>
    </w:p>
    <w:p w:rsidR="00DE4AF9" w:rsidRDefault="00DE4AF9" w:rsidP="004D5B3D">
      <w:pPr>
        <w:ind w:firstLine="720"/>
        <w:jc w:val="both"/>
        <w:rPr>
          <w:sz w:val="24"/>
          <w:szCs w:val="24"/>
          <w:lang w:val="hr-HR"/>
        </w:rPr>
      </w:pPr>
      <w:r>
        <w:rPr>
          <w:sz w:val="24"/>
          <w:szCs w:val="24"/>
          <w:lang w:val="hr-HR"/>
        </w:rPr>
        <w:t>Porez na kuće za odmor ne plaća se na kuće za odmor koje se ne mogu koristiti zbog ratnih razaranja i prirodnih nepogoda (poplava,požar,potres) te starosti i trošnosti.</w:t>
      </w:r>
    </w:p>
    <w:p w:rsidR="00E66478" w:rsidRDefault="00E66478" w:rsidP="004D5B3D">
      <w:pPr>
        <w:jc w:val="both"/>
        <w:rPr>
          <w:sz w:val="24"/>
          <w:szCs w:val="24"/>
          <w:lang w:val="hr-HR"/>
        </w:rPr>
      </w:pPr>
    </w:p>
    <w:p w:rsidR="003B79FF" w:rsidRDefault="003B79FF" w:rsidP="00CB2D35">
      <w:pPr>
        <w:tabs>
          <w:tab w:val="left" w:pos="5340"/>
        </w:tabs>
        <w:spacing w:line="360" w:lineRule="auto"/>
        <w:rPr>
          <w:sz w:val="24"/>
          <w:szCs w:val="24"/>
          <w:lang w:val="hr-HR"/>
        </w:rPr>
      </w:pPr>
    </w:p>
    <w:p w:rsidR="003B79FF" w:rsidRDefault="003B79FF" w:rsidP="00CB2D35">
      <w:pPr>
        <w:tabs>
          <w:tab w:val="left" w:pos="5340"/>
        </w:tabs>
        <w:spacing w:line="360" w:lineRule="auto"/>
        <w:rPr>
          <w:b/>
          <w:sz w:val="24"/>
          <w:szCs w:val="24"/>
          <w:u w:val="single"/>
          <w:lang w:val="hr-HR"/>
        </w:rPr>
      </w:pPr>
      <w:r w:rsidRPr="003B79FF">
        <w:rPr>
          <w:b/>
          <w:sz w:val="24"/>
          <w:szCs w:val="24"/>
          <w:u w:val="single"/>
          <w:lang w:val="hr-HR"/>
        </w:rPr>
        <w:t>4.Porez na korištenje javnih površina</w:t>
      </w:r>
    </w:p>
    <w:p w:rsidR="004D5B3D" w:rsidRDefault="004D5B3D" w:rsidP="00CB2D35">
      <w:pPr>
        <w:tabs>
          <w:tab w:val="left" w:pos="5340"/>
        </w:tabs>
        <w:spacing w:line="360" w:lineRule="auto"/>
        <w:rPr>
          <w:b/>
          <w:sz w:val="24"/>
          <w:szCs w:val="24"/>
          <w:u w:val="single"/>
          <w:lang w:val="hr-HR"/>
        </w:rPr>
      </w:pPr>
    </w:p>
    <w:p w:rsidR="006F0E97" w:rsidRDefault="006F0E97" w:rsidP="004D5B3D">
      <w:pPr>
        <w:ind w:firstLine="720"/>
        <w:jc w:val="both"/>
        <w:rPr>
          <w:sz w:val="24"/>
          <w:szCs w:val="24"/>
          <w:lang w:val="hr-HR"/>
        </w:rPr>
      </w:pPr>
      <w:r>
        <w:rPr>
          <w:sz w:val="24"/>
          <w:szCs w:val="24"/>
          <w:lang w:val="hr-HR"/>
        </w:rPr>
        <w:t>Porez na korištenje javnih površina plaćaju pravne i fizičke osobe koje koriste javne površine kojoj je nadležni Odsjek jedinstvenog upravnog odjela Grada Ludbrega odobrio zapremanje javne površine ispred zgrada  i korištenje slobodnih površina za privremenu upotrebu.</w:t>
      </w:r>
    </w:p>
    <w:p w:rsidR="006F0E97" w:rsidRDefault="006F0E97" w:rsidP="004D5B3D">
      <w:pPr>
        <w:ind w:firstLine="720"/>
        <w:jc w:val="both"/>
        <w:rPr>
          <w:sz w:val="24"/>
          <w:szCs w:val="24"/>
          <w:lang w:val="hr-HR"/>
        </w:rPr>
      </w:pPr>
      <w:r>
        <w:rPr>
          <w:sz w:val="24"/>
          <w:szCs w:val="24"/>
          <w:lang w:val="hr-HR"/>
        </w:rPr>
        <w:t>Za zapremanje javnih površina ispred zgrada,te za korištenje slobodnih javnih površina za privremenu upotrebu porez se obračunava dnevno za svaki metar četvorni prostora koji se koristi za zauzimanje terasa ili otvorenih prostora za ugostiteljske i druge djelatnosti i to:</w:t>
      </w:r>
    </w:p>
    <w:p w:rsidR="006F0E97" w:rsidRDefault="006F0E97" w:rsidP="004D5B3D">
      <w:pPr>
        <w:jc w:val="both"/>
        <w:rPr>
          <w:sz w:val="24"/>
          <w:szCs w:val="24"/>
          <w:lang w:val="hr-HR"/>
        </w:rPr>
      </w:pPr>
      <w:r>
        <w:rPr>
          <w:sz w:val="24"/>
          <w:szCs w:val="24"/>
          <w:lang w:val="hr-HR"/>
        </w:rPr>
        <w:tab/>
      </w:r>
    </w:p>
    <w:p w:rsidR="006F0E97" w:rsidRDefault="006F0E97" w:rsidP="004D5B3D">
      <w:pPr>
        <w:jc w:val="both"/>
        <w:rPr>
          <w:sz w:val="24"/>
          <w:szCs w:val="24"/>
          <w:lang w:val="hr-HR"/>
        </w:rPr>
      </w:pPr>
      <w:r>
        <w:rPr>
          <w:sz w:val="24"/>
          <w:szCs w:val="24"/>
          <w:lang w:val="hr-HR"/>
        </w:rPr>
        <w:tab/>
        <w:t xml:space="preserve">1.Na Trgu </w:t>
      </w:r>
      <w:proofErr w:type="spellStart"/>
      <w:r>
        <w:rPr>
          <w:sz w:val="24"/>
          <w:szCs w:val="24"/>
          <w:lang w:val="hr-HR"/>
        </w:rPr>
        <w:t>Sv.Trojstva</w:t>
      </w:r>
      <w:proofErr w:type="spellEnd"/>
      <w:r>
        <w:rPr>
          <w:sz w:val="24"/>
          <w:szCs w:val="24"/>
          <w:lang w:val="hr-HR"/>
        </w:rPr>
        <w:t xml:space="preserve"> i Trgu Sl</w:t>
      </w:r>
      <w:r w:rsidR="002A26C6">
        <w:rPr>
          <w:sz w:val="24"/>
          <w:szCs w:val="24"/>
          <w:lang w:val="hr-HR"/>
        </w:rPr>
        <w:t>obode u Ludbregu             1,00</w:t>
      </w:r>
      <w:r>
        <w:rPr>
          <w:sz w:val="24"/>
          <w:szCs w:val="24"/>
          <w:lang w:val="hr-HR"/>
        </w:rPr>
        <w:t xml:space="preserve"> kn</w:t>
      </w:r>
    </w:p>
    <w:p w:rsidR="006F0E97" w:rsidRDefault="006F0E97" w:rsidP="004D5B3D">
      <w:pPr>
        <w:jc w:val="both"/>
        <w:rPr>
          <w:sz w:val="24"/>
          <w:szCs w:val="24"/>
          <w:lang w:val="hr-HR"/>
        </w:rPr>
      </w:pPr>
      <w:r>
        <w:rPr>
          <w:sz w:val="24"/>
          <w:szCs w:val="24"/>
          <w:lang w:val="hr-HR"/>
        </w:rPr>
        <w:tab/>
        <w:t>2.Na ostalim lokacijama na</w:t>
      </w:r>
      <w:r w:rsidR="00B932CC">
        <w:rPr>
          <w:sz w:val="24"/>
          <w:szCs w:val="24"/>
          <w:lang w:val="hr-HR"/>
        </w:rPr>
        <w:t xml:space="preserve"> području Grada Ludbrega       </w:t>
      </w:r>
      <w:r>
        <w:rPr>
          <w:sz w:val="24"/>
          <w:szCs w:val="24"/>
          <w:lang w:val="hr-HR"/>
        </w:rPr>
        <w:t>0,</w:t>
      </w:r>
      <w:r w:rsidR="002A26C6">
        <w:rPr>
          <w:sz w:val="24"/>
          <w:szCs w:val="24"/>
          <w:lang w:val="hr-HR"/>
        </w:rPr>
        <w:t>7</w:t>
      </w:r>
      <w:r w:rsidR="00F10FB9">
        <w:rPr>
          <w:sz w:val="24"/>
          <w:szCs w:val="24"/>
          <w:lang w:val="hr-HR"/>
        </w:rPr>
        <w:t>0</w:t>
      </w:r>
      <w:r>
        <w:rPr>
          <w:sz w:val="24"/>
          <w:szCs w:val="24"/>
          <w:lang w:val="hr-HR"/>
        </w:rPr>
        <w:t xml:space="preserve"> kn</w:t>
      </w:r>
    </w:p>
    <w:p w:rsidR="003B79FF" w:rsidRDefault="003B79FF" w:rsidP="004D5B3D">
      <w:pPr>
        <w:tabs>
          <w:tab w:val="left" w:pos="5340"/>
        </w:tabs>
        <w:spacing w:line="360" w:lineRule="auto"/>
        <w:jc w:val="both"/>
        <w:rPr>
          <w:sz w:val="24"/>
          <w:szCs w:val="24"/>
          <w:lang w:val="hr-HR"/>
        </w:rPr>
      </w:pPr>
    </w:p>
    <w:p w:rsidR="00222373" w:rsidRPr="00222373" w:rsidRDefault="00222373" w:rsidP="00222373">
      <w:pPr>
        <w:rPr>
          <w:sz w:val="24"/>
          <w:szCs w:val="24"/>
          <w:lang w:val="hr-HR"/>
        </w:rPr>
      </w:pPr>
    </w:p>
    <w:p w:rsidR="00222373" w:rsidRDefault="00222373" w:rsidP="00222373">
      <w:pPr>
        <w:jc w:val="center"/>
        <w:rPr>
          <w:sz w:val="24"/>
          <w:szCs w:val="24"/>
          <w:lang w:val="hr-HR"/>
        </w:rPr>
      </w:pPr>
    </w:p>
    <w:p w:rsidR="00A35FA7" w:rsidRDefault="00A35FA7" w:rsidP="00222373">
      <w:pPr>
        <w:rPr>
          <w:b/>
          <w:sz w:val="32"/>
          <w:szCs w:val="32"/>
          <w:u w:val="single"/>
          <w:lang w:val="hr-HR"/>
        </w:rPr>
      </w:pPr>
    </w:p>
    <w:p w:rsidR="00A35FA7" w:rsidRDefault="00A35FA7" w:rsidP="00222373">
      <w:pPr>
        <w:rPr>
          <w:b/>
          <w:sz w:val="32"/>
          <w:szCs w:val="32"/>
          <w:u w:val="single"/>
          <w:lang w:val="hr-HR"/>
        </w:rPr>
      </w:pPr>
    </w:p>
    <w:p w:rsidR="00A35FA7" w:rsidRDefault="00A35FA7" w:rsidP="00222373">
      <w:pPr>
        <w:rPr>
          <w:b/>
          <w:sz w:val="32"/>
          <w:szCs w:val="32"/>
          <w:u w:val="single"/>
          <w:lang w:val="hr-HR"/>
        </w:rPr>
      </w:pPr>
    </w:p>
    <w:p w:rsidR="00355398" w:rsidRDefault="00355398" w:rsidP="00222373">
      <w:pPr>
        <w:rPr>
          <w:b/>
          <w:sz w:val="32"/>
          <w:szCs w:val="32"/>
          <w:u w:val="single"/>
          <w:lang w:val="hr-HR"/>
        </w:rPr>
      </w:pPr>
    </w:p>
    <w:p w:rsidR="00222373" w:rsidRDefault="00222373" w:rsidP="00222373">
      <w:pPr>
        <w:rPr>
          <w:b/>
          <w:sz w:val="32"/>
          <w:szCs w:val="32"/>
          <w:u w:val="single"/>
          <w:lang w:val="hr-HR"/>
        </w:rPr>
      </w:pPr>
      <w:r w:rsidRPr="00654535">
        <w:rPr>
          <w:b/>
          <w:sz w:val="32"/>
          <w:szCs w:val="32"/>
          <w:u w:val="single"/>
          <w:lang w:val="hr-HR"/>
        </w:rPr>
        <w:t>Primjeri izračuna</w:t>
      </w:r>
      <w:r>
        <w:rPr>
          <w:b/>
          <w:sz w:val="32"/>
          <w:szCs w:val="32"/>
          <w:u w:val="single"/>
          <w:lang w:val="hr-HR"/>
        </w:rPr>
        <w:t xml:space="preserve"> (ut</w:t>
      </w:r>
      <w:r w:rsidR="00453D19">
        <w:rPr>
          <w:b/>
          <w:sz w:val="32"/>
          <w:szCs w:val="32"/>
          <w:u w:val="single"/>
          <w:lang w:val="hr-HR"/>
        </w:rPr>
        <w:t>je</w:t>
      </w:r>
      <w:r>
        <w:rPr>
          <w:b/>
          <w:sz w:val="32"/>
          <w:szCs w:val="32"/>
          <w:u w:val="single"/>
          <w:lang w:val="hr-HR"/>
        </w:rPr>
        <w:t>caj stope prireza na visinu neto plaće)</w:t>
      </w:r>
    </w:p>
    <w:p w:rsidR="00222373" w:rsidRDefault="00222373" w:rsidP="00222373">
      <w:pPr>
        <w:rPr>
          <w:b/>
          <w:sz w:val="32"/>
          <w:szCs w:val="32"/>
          <w:u w:val="single"/>
          <w:lang w:val="hr-HR"/>
        </w:rPr>
      </w:pPr>
    </w:p>
    <w:p w:rsidR="00222373" w:rsidRDefault="00222373" w:rsidP="00222373">
      <w:pPr>
        <w:jc w:val="center"/>
        <w:rPr>
          <w:sz w:val="24"/>
          <w:szCs w:val="24"/>
          <w:lang w:val="hr-HR"/>
        </w:rPr>
      </w:pPr>
    </w:p>
    <w:p w:rsidR="00973F9E" w:rsidRDefault="00973F9E" w:rsidP="00222373">
      <w:pPr>
        <w:jc w:val="center"/>
        <w:rPr>
          <w:sz w:val="24"/>
          <w:szCs w:val="24"/>
          <w:lang w:val="hr-HR"/>
        </w:rPr>
      </w:pPr>
    </w:p>
    <w:p w:rsidR="00973F9E" w:rsidRDefault="00973F9E" w:rsidP="00222373">
      <w:pPr>
        <w:jc w:val="center"/>
        <w:rPr>
          <w:sz w:val="24"/>
          <w:szCs w:val="24"/>
          <w:lang w:val="hr-HR"/>
        </w:rPr>
      </w:pPr>
    </w:p>
    <w:p w:rsidR="00001F63" w:rsidRPr="00C13DEF" w:rsidRDefault="00001F63" w:rsidP="00001F63">
      <w:pPr>
        <w:tabs>
          <w:tab w:val="left" w:pos="2116"/>
        </w:tabs>
        <w:rPr>
          <w:b/>
          <w:sz w:val="24"/>
          <w:szCs w:val="24"/>
        </w:rPr>
      </w:pPr>
      <w:proofErr w:type="gramStart"/>
      <w:r w:rsidRPr="00C13DEF">
        <w:rPr>
          <w:b/>
          <w:sz w:val="24"/>
          <w:szCs w:val="24"/>
        </w:rPr>
        <w:t>PRIMJER 1.</w:t>
      </w:r>
      <w:proofErr w:type="gramEnd"/>
    </w:p>
    <w:tbl>
      <w:tblPr>
        <w:tblStyle w:val="Reetkatablice"/>
        <w:tblW w:w="6203" w:type="dxa"/>
        <w:tblLayout w:type="fixed"/>
        <w:tblLook w:val="04A0"/>
      </w:tblPr>
      <w:tblGrid>
        <w:gridCol w:w="1384"/>
        <w:gridCol w:w="1843"/>
        <w:gridCol w:w="1559"/>
        <w:gridCol w:w="1417"/>
      </w:tblGrid>
      <w:tr w:rsidR="00C95F88" w:rsidTr="00C95F88">
        <w:trPr>
          <w:trHeight w:val="476"/>
        </w:trPr>
        <w:tc>
          <w:tcPr>
            <w:tcW w:w="1384" w:type="dxa"/>
          </w:tcPr>
          <w:p w:rsidR="00C95F88" w:rsidRPr="001E3C87" w:rsidRDefault="00C95F88" w:rsidP="00090F8C">
            <w:pPr>
              <w:tabs>
                <w:tab w:val="left" w:pos="2116"/>
              </w:tabs>
              <w:jc w:val="center"/>
              <w:rPr>
                <w:b/>
              </w:rPr>
            </w:pPr>
          </w:p>
          <w:p w:rsidR="00C95F88" w:rsidRPr="001E3C87" w:rsidRDefault="00C95F88" w:rsidP="00090F8C">
            <w:pPr>
              <w:tabs>
                <w:tab w:val="left" w:pos="2116"/>
              </w:tabs>
              <w:jc w:val="center"/>
              <w:rPr>
                <w:b/>
              </w:rPr>
            </w:pPr>
            <w:r w:rsidRPr="001E3C87">
              <w:rPr>
                <w:b/>
              </w:rPr>
              <w:t>PLAĆA</w:t>
            </w:r>
          </w:p>
        </w:tc>
        <w:tc>
          <w:tcPr>
            <w:tcW w:w="1843" w:type="dxa"/>
            <w:vAlign w:val="center"/>
          </w:tcPr>
          <w:p w:rsidR="00C95F88" w:rsidRPr="001E3C87" w:rsidRDefault="00C95F88" w:rsidP="005E779E">
            <w:pPr>
              <w:tabs>
                <w:tab w:val="left" w:pos="2116"/>
              </w:tabs>
              <w:jc w:val="center"/>
              <w:rPr>
                <w:b/>
              </w:rPr>
            </w:pPr>
            <w:r w:rsidRPr="001E3C87">
              <w:rPr>
                <w:b/>
              </w:rPr>
              <w:t>PRIREZ 8%</w:t>
            </w:r>
          </w:p>
        </w:tc>
        <w:tc>
          <w:tcPr>
            <w:tcW w:w="1559" w:type="dxa"/>
            <w:vAlign w:val="center"/>
          </w:tcPr>
          <w:p w:rsidR="00C95F88" w:rsidRPr="001E3C87" w:rsidRDefault="00C95F88" w:rsidP="005E779E">
            <w:pPr>
              <w:tabs>
                <w:tab w:val="left" w:pos="2116"/>
              </w:tabs>
              <w:jc w:val="center"/>
              <w:rPr>
                <w:b/>
              </w:rPr>
            </w:pPr>
            <w:r w:rsidRPr="001E3C87">
              <w:rPr>
                <w:b/>
              </w:rPr>
              <w:t>PRIREZ 12%</w:t>
            </w:r>
          </w:p>
        </w:tc>
        <w:tc>
          <w:tcPr>
            <w:tcW w:w="1417" w:type="dxa"/>
          </w:tcPr>
          <w:p w:rsidR="00C95F88" w:rsidRPr="001E3C87" w:rsidRDefault="00C95F88" w:rsidP="00090F8C">
            <w:pPr>
              <w:tabs>
                <w:tab w:val="left" w:pos="2116"/>
              </w:tabs>
              <w:jc w:val="center"/>
              <w:rPr>
                <w:b/>
              </w:rPr>
            </w:pPr>
            <w:r w:rsidRPr="001E3C87">
              <w:rPr>
                <w:b/>
              </w:rPr>
              <w:t xml:space="preserve">RAZLIKA </w:t>
            </w:r>
          </w:p>
          <w:p w:rsidR="00C95F88" w:rsidRPr="001E3C87" w:rsidRDefault="00C95F88" w:rsidP="00090F8C">
            <w:pPr>
              <w:tabs>
                <w:tab w:val="left" w:pos="2116"/>
              </w:tabs>
              <w:jc w:val="center"/>
              <w:rPr>
                <w:b/>
              </w:rPr>
            </w:pPr>
            <w:r>
              <w:rPr>
                <w:b/>
              </w:rPr>
              <w:t>3</w:t>
            </w:r>
            <w:r w:rsidRPr="001E3C87">
              <w:rPr>
                <w:b/>
              </w:rPr>
              <w:t xml:space="preserve"> - 2</w:t>
            </w:r>
          </w:p>
        </w:tc>
      </w:tr>
      <w:tr w:rsidR="00C95F88" w:rsidTr="00C95F88">
        <w:trPr>
          <w:trHeight w:val="75"/>
        </w:trPr>
        <w:tc>
          <w:tcPr>
            <w:tcW w:w="1384" w:type="dxa"/>
          </w:tcPr>
          <w:p w:rsidR="00C95F88" w:rsidRPr="001E3C87" w:rsidRDefault="00C95F88" w:rsidP="00090F8C">
            <w:pPr>
              <w:tabs>
                <w:tab w:val="left" w:pos="2116"/>
              </w:tabs>
              <w:jc w:val="center"/>
              <w:rPr>
                <w:b/>
              </w:rPr>
            </w:pPr>
            <w:r w:rsidRPr="001E3C87">
              <w:rPr>
                <w:b/>
              </w:rPr>
              <w:t>1</w:t>
            </w:r>
          </w:p>
        </w:tc>
        <w:tc>
          <w:tcPr>
            <w:tcW w:w="1843" w:type="dxa"/>
          </w:tcPr>
          <w:p w:rsidR="00C95F88" w:rsidRPr="001E3C87" w:rsidRDefault="00C95F88" w:rsidP="00090F8C">
            <w:pPr>
              <w:tabs>
                <w:tab w:val="left" w:pos="2116"/>
              </w:tabs>
              <w:jc w:val="center"/>
              <w:rPr>
                <w:b/>
              </w:rPr>
            </w:pPr>
            <w:r w:rsidRPr="001E3C87">
              <w:rPr>
                <w:b/>
              </w:rPr>
              <w:t>2</w:t>
            </w:r>
          </w:p>
        </w:tc>
        <w:tc>
          <w:tcPr>
            <w:tcW w:w="1559" w:type="dxa"/>
          </w:tcPr>
          <w:p w:rsidR="00C95F88" w:rsidRPr="001E3C87" w:rsidRDefault="00C95F88" w:rsidP="00090F8C">
            <w:pPr>
              <w:tabs>
                <w:tab w:val="left" w:pos="2116"/>
              </w:tabs>
              <w:jc w:val="center"/>
              <w:rPr>
                <w:b/>
              </w:rPr>
            </w:pPr>
            <w:r>
              <w:rPr>
                <w:b/>
              </w:rPr>
              <w:t>3</w:t>
            </w:r>
          </w:p>
        </w:tc>
        <w:tc>
          <w:tcPr>
            <w:tcW w:w="1417" w:type="dxa"/>
          </w:tcPr>
          <w:p w:rsidR="00C95F88" w:rsidRPr="001E3C87" w:rsidRDefault="00C95F88" w:rsidP="00090F8C">
            <w:pPr>
              <w:tabs>
                <w:tab w:val="left" w:pos="2116"/>
              </w:tabs>
              <w:jc w:val="center"/>
              <w:rPr>
                <w:b/>
              </w:rPr>
            </w:pPr>
            <w:r>
              <w:rPr>
                <w:b/>
              </w:rPr>
              <w:t>4</w:t>
            </w:r>
          </w:p>
        </w:tc>
      </w:tr>
      <w:tr w:rsidR="00C95F88" w:rsidTr="00C95F88">
        <w:tc>
          <w:tcPr>
            <w:tcW w:w="1384" w:type="dxa"/>
          </w:tcPr>
          <w:p w:rsidR="00C95F88" w:rsidRPr="001E3C87" w:rsidRDefault="00C95F88" w:rsidP="00090F8C">
            <w:pPr>
              <w:tabs>
                <w:tab w:val="left" w:pos="2116"/>
              </w:tabs>
              <w:rPr>
                <w:b/>
              </w:rPr>
            </w:pPr>
            <w:proofErr w:type="spellStart"/>
            <w:r w:rsidRPr="001E3C87">
              <w:rPr>
                <w:b/>
              </w:rPr>
              <w:t>Bruto</w:t>
            </w:r>
            <w:proofErr w:type="spellEnd"/>
            <w:r w:rsidRPr="001E3C87">
              <w:rPr>
                <w:b/>
              </w:rPr>
              <w:t xml:space="preserve"> </w:t>
            </w:r>
            <w:proofErr w:type="spellStart"/>
            <w:r w:rsidRPr="001E3C87">
              <w:rPr>
                <w:b/>
              </w:rPr>
              <w:t>plaća</w:t>
            </w:r>
            <w:proofErr w:type="spellEnd"/>
          </w:p>
        </w:tc>
        <w:tc>
          <w:tcPr>
            <w:tcW w:w="1843" w:type="dxa"/>
          </w:tcPr>
          <w:p w:rsidR="00C95F88" w:rsidRDefault="00C95F88" w:rsidP="00090F8C">
            <w:pPr>
              <w:tabs>
                <w:tab w:val="left" w:pos="2116"/>
              </w:tabs>
              <w:jc w:val="right"/>
              <w:rPr>
                <w:sz w:val="24"/>
                <w:szCs w:val="24"/>
              </w:rPr>
            </w:pPr>
            <w:r>
              <w:rPr>
                <w:sz w:val="24"/>
                <w:szCs w:val="24"/>
              </w:rPr>
              <w:t>5.079.03</w:t>
            </w:r>
          </w:p>
        </w:tc>
        <w:tc>
          <w:tcPr>
            <w:tcW w:w="1559" w:type="dxa"/>
          </w:tcPr>
          <w:p w:rsidR="00C95F88" w:rsidRDefault="00C95F88" w:rsidP="00090F8C">
            <w:pPr>
              <w:tabs>
                <w:tab w:val="left" w:pos="2116"/>
              </w:tabs>
              <w:jc w:val="right"/>
              <w:rPr>
                <w:sz w:val="24"/>
                <w:szCs w:val="24"/>
              </w:rPr>
            </w:pPr>
            <w:r>
              <w:rPr>
                <w:sz w:val="24"/>
                <w:szCs w:val="24"/>
              </w:rPr>
              <w:t>5.079,03</w:t>
            </w:r>
          </w:p>
        </w:tc>
        <w:tc>
          <w:tcPr>
            <w:tcW w:w="1417" w:type="dxa"/>
          </w:tcPr>
          <w:p w:rsidR="00C95F88" w:rsidRDefault="00C95F88" w:rsidP="00090F8C">
            <w:pPr>
              <w:tabs>
                <w:tab w:val="left" w:pos="2116"/>
              </w:tabs>
              <w:jc w:val="center"/>
              <w:rPr>
                <w:sz w:val="24"/>
                <w:szCs w:val="24"/>
              </w:rPr>
            </w:pPr>
          </w:p>
        </w:tc>
      </w:tr>
      <w:tr w:rsidR="00C95F88" w:rsidTr="00C95F88">
        <w:tc>
          <w:tcPr>
            <w:tcW w:w="1384" w:type="dxa"/>
          </w:tcPr>
          <w:p w:rsidR="00C95F88" w:rsidRPr="001E3C87" w:rsidRDefault="00C95F88" w:rsidP="00090F8C">
            <w:pPr>
              <w:tabs>
                <w:tab w:val="left" w:pos="2116"/>
              </w:tabs>
              <w:rPr>
                <w:b/>
              </w:rPr>
            </w:pPr>
            <w:proofErr w:type="spellStart"/>
            <w:r w:rsidRPr="001E3C87">
              <w:rPr>
                <w:b/>
              </w:rPr>
              <w:t>Neto</w:t>
            </w:r>
            <w:proofErr w:type="spellEnd"/>
            <w:r w:rsidRPr="001E3C87">
              <w:rPr>
                <w:b/>
              </w:rPr>
              <w:t xml:space="preserve"> </w:t>
            </w:r>
            <w:proofErr w:type="spellStart"/>
            <w:r w:rsidRPr="001E3C87">
              <w:rPr>
                <w:b/>
              </w:rPr>
              <w:t>plaća</w:t>
            </w:r>
            <w:proofErr w:type="spellEnd"/>
          </w:p>
        </w:tc>
        <w:tc>
          <w:tcPr>
            <w:tcW w:w="1843" w:type="dxa"/>
          </w:tcPr>
          <w:p w:rsidR="00C95F88" w:rsidRDefault="00C95F88" w:rsidP="00090F8C">
            <w:pPr>
              <w:tabs>
                <w:tab w:val="left" w:pos="2116"/>
              </w:tabs>
              <w:jc w:val="right"/>
              <w:rPr>
                <w:sz w:val="24"/>
                <w:szCs w:val="24"/>
              </w:rPr>
            </w:pPr>
            <w:r>
              <w:rPr>
                <w:sz w:val="24"/>
                <w:szCs w:val="24"/>
              </w:rPr>
              <w:t>3.995,00</w:t>
            </w:r>
          </w:p>
        </w:tc>
        <w:tc>
          <w:tcPr>
            <w:tcW w:w="1559" w:type="dxa"/>
          </w:tcPr>
          <w:p w:rsidR="00C95F88" w:rsidRDefault="00C95F88" w:rsidP="00090F8C">
            <w:pPr>
              <w:tabs>
                <w:tab w:val="left" w:pos="2116"/>
              </w:tabs>
              <w:jc w:val="right"/>
              <w:rPr>
                <w:sz w:val="24"/>
                <w:szCs w:val="24"/>
              </w:rPr>
            </w:pPr>
            <w:r>
              <w:rPr>
                <w:sz w:val="24"/>
                <w:szCs w:val="24"/>
              </w:rPr>
              <w:t>3.992,47</w:t>
            </w:r>
          </w:p>
        </w:tc>
        <w:tc>
          <w:tcPr>
            <w:tcW w:w="1417" w:type="dxa"/>
          </w:tcPr>
          <w:p w:rsidR="00C95F88" w:rsidRDefault="00C95F88" w:rsidP="00090F8C">
            <w:pPr>
              <w:tabs>
                <w:tab w:val="left" w:pos="2116"/>
              </w:tabs>
              <w:jc w:val="center"/>
              <w:rPr>
                <w:sz w:val="24"/>
                <w:szCs w:val="24"/>
              </w:rPr>
            </w:pPr>
            <w:r>
              <w:rPr>
                <w:sz w:val="24"/>
                <w:szCs w:val="24"/>
              </w:rPr>
              <w:t>2,52</w:t>
            </w:r>
          </w:p>
        </w:tc>
      </w:tr>
      <w:tr w:rsidR="00C95F88" w:rsidTr="00C95F88">
        <w:trPr>
          <w:trHeight w:val="316"/>
        </w:trPr>
        <w:tc>
          <w:tcPr>
            <w:tcW w:w="1384" w:type="dxa"/>
          </w:tcPr>
          <w:p w:rsidR="00C95F88" w:rsidRPr="001E3C87" w:rsidRDefault="00C95F88" w:rsidP="00090F8C">
            <w:pPr>
              <w:tabs>
                <w:tab w:val="left" w:pos="2116"/>
              </w:tabs>
              <w:rPr>
                <w:b/>
              </w:rPr>
            </w:pPr>
            <w:proofErr w:type="spellStart"/>
            <w:r w:rsidRPr="001E3C87">
              <w:rPr>
                <w:b/>
              </w:rPr>
              <w:t>Porez</w:t>
            </w:r>
            <w:proofErr w:type="spellEnd"/>
          </w:p>
        </w:tc>
        <w:tc>
          <w:tcPr>
            <w:tcW w:w="1843" w:type="dxa"/>
          </w:tcPr>
          <w:p w:rsidR="00C95F88" w:rsidRDefault="00C95F88" w:rsidP="00090F8C">
            <w:pPr>
              <w:tabs>
                <w:tab w:val="left" w:pos="2116"/>
              </w:tabs>
              <w:jc w:val="right"/>
              <w:rPr>
                <w:sz w:val="24"/>
                <w:szCs w:val="24"/>
              </w:rPr>
            </w:pPr>
            <w:r>
              <w:rPr>
                <w:sz w:val="24"/>
                <w:szCs w:val="24"/>
              </w:rPr>
              <w:t>63,17</w:t>
            </w:r>
          </w:p>
        </w:tc>
        <w:tc>
          <w:tcPr>
            <w:tcW w:w="1559" w:type="dxa"/>
          </w:tcPr>
          <w:p w:rsidR="00C95F88" w:rsidRDefault="00C95F88" w:rsidP="00090F8C">
            <w:pPr>
              <w:tabs>
                <w:tab w:val="left" w:pos="2116"/>
              </w:tabs>
              <w:jc w:val="right"/>
              <w:rPr>
                <w:sz w:val="24"/>
                <w:szCs w:val="24"/>
              </w:rPr>
            </w:pPr>
            <w:r>
              <w:rPr>
                <w:sz w:val="24"/>
                <w:szCs w:val="24"/>
              </w:rPr>
              <w:t>63,17</w:t>
            </w:r>
          </w:p>
        </w:tc>
        <w:tc>
          <w:tcPr>
            <w:tcW w:w="1417" w:type="dxa"/>
          </w:tcPr>
          <w:p w:rsidR="00C95F88" w:rsidRDefault="00C95F88" w:rsidP="00090F8C">
            <w:pPr>
              <w:tabs>
                <w:tab w:val="left" w:pos="2116"/>
              </w:tabs>
              <w:jc w:val="center"/>
              <w:rPr>
                <w:sz w:val="24"/>
                <w:szCs w:val="24"/>
              </w:rPr>
            </w:pPr>
          </w:p>
        </w:tc>
      </w:tr>
      <w:tr w:rsidR="00C95F88" w:rsidRPr="00FA4447" w:rsidTr="00C95F88">
        <w:trPr>
          <w:trHeight w:val="60"/>
        </w:trPr>
        <w:tc>
          <w:tcPr>
            <w:tcW w:w="1384" w:type="dxa"/>
          </w:tcPr>
          <w:p w:rsidR="00C95F88" w:rsidRPr="00FA4447" w:rsidRDefault="00C95F88" w:rsidP="00090F8C">
            <w:pPr>
              <w:tabs>
                <w:tab w:val="left" w:pos="2116"/>
              </w:tabs>
              <w:rPr>
                <w:b/>
              </w:rPr>
            </w:pPr>
            <w:proofErr w:type="spellStart"/>
            <w:r w:rsidRPr="00FA4447">
              <w:rPr>
                <w:b/>
              </w:rPr>
              <w:t>Prirez</w:t>
            </w:r>
            <w:proofErr w:type="spellEnd"/>
          </w:p>
        </w:tc>
        <w:tc>
          <w:tcPr>
            <w:tcW w:w="1843" w:type="dxa"/>
          </w:tcPr>
          <w:p w:rsidR="00C95F88" w:rsidRPr="00FA4447" w:rsidRDefault="00C95F88" w:rsidP="00090F8C">
            <w:pPr>
              <w:tabs>
                <w:tab w:val="left" w:pos="2116"/>
              </w:tabs>
              <w:jc w:val="right"/>
              <w:rPr>
                <w:b/>
                <w:sz w:val="24"/>
                <w:szCs w:val="24"/>
              </w:rPr>
            </w:pPr>
            <w:r w:rsidRPr="00FA4447">
              <w:rPr>
                <w:b/>
                <w:sz w:val="24"/>
                <w:szCs w:val="24"/>
              </w:rPr>
              <w:t>5,05</w:t>
            </w:r>
          </w:p>
        </w:tc>
        <w:tc>
          <w:tcPr>
            <w:tcW w:w="1559" w:type="dxa"/>
          </w:tcPr>
          <w:p w:rsidR="00C95F88" w:rsidRPr="00FA4447" w:rsidRDefault="00C95F88" w:rsidP="00090F8C">
            <w:pPr>
              <w:tabs>
                <w:tab w:val="left" w:pos="2116"/>
              </w:tabs>
              <w:jc w:val="right"/>
              <w:rPr>
                <w:b/>
                <w:sz w:val="24"/>
                <w:szCs w:val="24"/>
              </w:rPr>
            </w:pPr>
            <w:r w:rsidRPr="00FA4447">
              <w:rPr>
                <w:b/>
                <w:sz w:val="24"/>
                <w:szCs w:val="24"/>
              </w:rPr>
              <w:t>7,57</w:t>
            </w:r>
          </w:p>
        </w:tc>
        <w:tc>
          <w:tcPr>
            <w:tcW w:w="1417" w:type="dxa"/>
          </w:tcPr>
          <w:p w:rsidR="00C95F88" w:rsidRPr="00FA4447" w:rsidRDefault="00C95F88" w:rsidP="00090F8C">
            <w:pPr>
              <w:tabs>
                <w:tab w:val="left" w:pos="2116"/>
              </w:tabs>
              <w:jc w:val="center"/>
              <w:rPr>
                <w:b/>
                <w:sz w:val="24"/>
                <w:szCs w:val="24"/>
              </w:rPr>
            </w:pPr>
            <w:r w:rsidRPr="00FA4447">
              <w:rPr>
                <w:b/>
                <w:sz w:val="24"/>
                <w:szCs w:val="24"/>
              </w:rPr>
              <w:t>2,52</w:t>
            </w:r>
          </w:p>
        </w:tc>
      </w:tr>
    </w:tbl>
    <w:p w:rsidR="00001F63" w:rsidRDefault="00001F63" w:rsidP="00001F63">
      <w:pPr>
        <w:tabs>
          <w:tab w:val="left" w:pos="2116"/>
        </w:tabs>
        <w:rPr>
          <w:sz w:val="24"/>
          <w:szCs w:val="24"/>
        </w:rPr>
      </w:pPr>
    </w:p>
    <w:p w:rsidR="00001F63" w:rsidRDefault="00001F63" w:rsidP="00001F63">
      <w:pPr>
        <w:tabs>
          <w:tab w:val="left" w:pos="2116"/>
        </w:tabs>
        <w:rPr>
          <w:b/>
          <w:sz w:val="24"/>
          <w:szCs w:val="24"/>
        </w:rPr>
      </w:pPr>
    </w:p>
    <w:p w:rsidR="0098421F" w:rsidRPr="00C13DEF" w:rsidRDefault="0098421F" w:rsidP="00001F63">
      <w:pPr>
        <w:tabs>
          <w:tab w:val="left" w:pos="2116"/>
        </w:tabs>
        <w:rPr>
          <w:b/>
          <w:sz w:val="24"/>
          <w:szCs w:val="24"/>
        </w:rPr>
      </w:pPr>
    </w:p>
    <w:p w:rsidR="00001F63" w:rsidRPr="001E3C87" w:rsidRDefault="00001F63" w:rsidP="00001F63">
      <w:pPr>
        <w:tabs>
          <w:tab w:val="left" w:pos="2116"/>
        </w:tabs>
        <w:rPr>
          <w:b/>
        </w:rPr>
      </w:pPr>
      <w:proofErr w:type="gramStart"/>
      <w:r w:rsidRPr="00C13DEF">
        <w:rPr>
          <w:b/>
          <w:sz w:val="24"/>
          <w:szCs w:val="24"/>
        </w:rPr>
        <w:t>PRIMJER 2.</w:t>
      </w:r>
      <w:proofErr w:type="gramEnd"/>
    </w:p>
    <w:tbl>
      <w:tblPr>
        <w:tblStyle w:val="Reetkatablice"/>
        <w:tblW w:w="6203" w:type="dxa"/>
        <w:tblLook w:val="04A0"/>
      </w:tblPr>
      <w:tblGrid>
        <w:gridCol w:w="1384"/>
        <w:gridCol w:w="1843"/>
        <w:gridCol w:w="1559"/>
        <w:gridCol w:w="1417"/>
      </w:tblGrid>
      <w:tr w:rsidR="00C95F88" w:rsidRPr="001E3C87" w:rsidTr="00C95F88">
        <w:trPr>
          <w:trHeight w:val="388"/>
        </w:trPr>
        <w:tc>
          <w:tcPr>
            <w:tcW w:w="1384" w:type="dxa"/>
            <w:vAlign w:val="center"/>
          </w:tcPr>
          <w:p w:rsidR="00C95F88" w:rsidRPr="001E3C87" w:rsidRDefault="00C95F88" w:rsidP="005E779E">
            <w:pPr>
              <w:tabs>
                <w:tab w:val="left" w:pos="2116"/>
              </w:tabs>
              <w:jc w:val="center"/>
              <w:rPr>
                <w:b/>
              </w:rPr>
            </w:pPr>
          </w:p>
          <w:p w:rsidR="00C95F88" w:rsidRPr="001E3C87" w:rsidRDefault="00C95F88" w:rsidP="005E779E">
            <w:pPr>
              <w:tabs>
                <w:tab w:val="left" w:pos="2116"/>
              </w:tabs>
              <w:jc w:val="center"/>
              <w:rPr>
                <w:b/>
              </w:rPr>
            </w:pPr>
            <w:r w:rsidRPr="001E3C87">
              <w:rPr>
                <w:b/>
              </w:rPr>
              <w:t>PLAĆA</w:t>
            </w:r>
          </w:p>
        </w:tc>
        <w:tc>
          <w:tcPr>
            <w:tcW w:w="1843" w:type="dxa"/>
            <w:vAlign w:val="center"/>
          </w:tcPr>
          <w:p w:rsidR="00C95F88" w:rsidRPr="001E3C87" w:rsidRDefault="00C95F88" w:rsidP="005E779E">
            <w:pPr>
              <w:tabs>
                <w:tab w:val="left" w:pos="2116"/>
              </w:tabs>
              <w:jc w:val="center"/>
              <w:rPr>
                <w:b/>
              </w:rPr>
            </w:pPr>
            <w:r w:rsidRPr="001E3C87">
              <w:rPr>
                <w:b/>
              </w:rPr>
              <w:t>PRIREZ 8%</w:t>
            </w:r>
          </w:p>
        </w:tc>
        <w:tc>
          <w:tcPr>
            <w:tcW w:w="1559" w:type="dxa"/>
            <w:vAlign w:val="center"/>
          </w:tcPr>
          <w:p w:rsidR="00C95F88" w:rsidRPr="001E3C87" w:rsidRDefault="00C95F88" w:rsidP="005E779E">
            <w:pPr>
              <w:tabs>
                <w:tab w:val="left" w:pos="2116"/>
              </w:tabs>
              <w:jc w:val="center"/>
              <w:rPr>
                <w:b/>
              </w:rPr>
            </w:pPr>
            <w:r w:rsidRPr="001E3C87">
              <w:rPr>
                <w:b/>
              </w:rPr>
              <w:t>PRIREZ 12%</w:t>
            </w:r>
          </w:p>
        </w:tc>
        <w:tc>
          <w:tcPr>
            <w:tcW w:w="1417" w:type="dxa"/>
            <w:tcBorders>
              <w:bottom w:val="single" w:sz="4" w:space="0" w:color="auto"/>
            </w:tcBorders>
            <w:shd w:val="clear" w:color="auto" w:fill="auto"/>
          </w:tcPr>
          <w:p w:rsidR="00C95F88" w:rsidRPr="001E3C87" w:rsidRDefault="00C95F88" w:rsidP="00090F8C">
            <w:pPr>
              <w:jc w:val="center"/>
              <w:rPr>
                <w:b/>
              </w:rPr>
            </w:pPr>
            <w:r w:rsidRPr="001E3C87">
              <w:rPr>
                <w:b/>
              </w:rPr>
              <w:t>RAZLIKA</w:t>
            </w:r>
          </w:p>
          <w:p w:rsidR="00C95F88" w:rsidRPr="001E3C87" w:rsidRDefault="00C95F88" w:rsidP="00090F8C">
            <w:pPr>
              <w:jc w:val="center"/>
              <w:rPr>
                <w:b/>
              </w:rPr>
            </w:pPr>
            <w:r>
              <w:rPr>
                <w:b/>
              </w:rPr>
              <w:t>3</w:t>
            </w:r>
            <w:r w:rsidRPr="001E3C87">
              <w:rPr>
                <w:b/>
              </w:rPr>
              <w:t xml:space="preserve"> – 2</w:t>
            </w:r>
          </w:p>
        </w:tc>
      </w:tr>
      <w:tr w:rsidR="00C95F88" w:rsidTr="00C95F88">
        <w:trPr>
          <w:trHeight w:val="150"/>
        </w:trPr>
        <w:tc>
          <w:tcPr>
            <w:tcW w:w="1384" w:type="dxa"/>
          </w:tcPr>
          <w:p w:rsidR="00C95F88" w:rsidRPr="001E3C87" w:rsidRDefault="00C95F88" w:rsidP="00090F8C">
            <w:pPr>
              <w:tabs>
                <w:tab w:val="left" w:pos="2116"/>
              </w:tabs>
              <w:jc w:val="center"/>
              <w:rPr>
                <w:b/>
              </w:rPr>
            </w:pPr>
            <w:r w:rsidRPr="001E3C87">
              <w:rPr>
                <w:b/>
              </w:rPr>
              <w:t>1</w:t>
            </w:r>
          </w:p>
        </w:tc>
        <w:tc>
          <w:tcPr>
            <w:tcW w:w="1843" w:type="dxa"/>
          </w:tcPr>
          <w:p w:rsidR="00C95F88" w:rsidRPr="001E3C87" w:rsidRDefault="00C95F88" w:rsidP="00090F8C">
            <w:pPr>
              <w:tabs>
                <w:tab w:val="left" w:pos="2116"/>
              </w:tabs>
              <w:jc w:val="center"/>
              <w:rPr>
                <w:b/>
              </w:rPr>
            </w:pPr>
            <w:r w:rsidRPr="001E3C87">
              <w:rPr>
                <w:b/>
              </w:rPr>
              <w:t>2</w:t>
            </w:r>
          </w:p>
        </w:tc>
        <w:tc>
          <w:tcPr>
            <w:tcW w:w="1559" w:type="dxa"/>
          </w:tcPr>
          <w:p w:rsidR="00C95F88" w:rsidRPr="001E3C87" w:rsidRDefault="00C95F88" w:rsidP="00090F8C">
            <w:pPr>
              <w:tabs>
                <w:tab w:val="left" w:pos="2116"/>
              </w:tabs>
              <w:jc w:val="center"/>
              <w:rPr>
                <w:b/>
              </w:rPr>
            </w:pPr>
            <w:r>
              <w:rPr>
                <w:b/>
              </w:rPr>
              <w:t>3</w:t>
            </w:r>
          </w:p>
        </w:tc>
        <w:tc>
          <w:tcPr>
            <w:tcW w:w="1417" w:type="dxa"/>
            <w:tcBorders>
              <w:bottom w:val="single" w:sz="4" w:space="0" w:color="auto"/>
            </w:tcBorders>
            <w:shd w:val="clear" w:color="auto" w:fill="auto"/>
          </w:tcPr>
          <w:p w:rsidR="00C95F88" w:rsidRPr="001E3C87" w:rsidRDefault="00C95F88" w:rsidP="00090F8C">
            <w:pPr>
              <w:jc w:val="center"/>
              <w:rPr>
                <w:b/>
              </w:rPr>
            </w:pPr>
            <w:r>
              <w:rPr>
                <w:b/>
              </w:rPr>
              <w:t>4</w:t>
            </w:r>
          </w:p>
        </w:tc>
      </w:tr>
      <w:tr w:rsidR="00C95F88" w:rsidTr="00C95F88">
        <w:tc>
          <w:tcPr>
            <w:tcW w:w="1384" w:type="dxa"/>
          </w:tcPr>
          <w:p w:rsidR="00C95F88" w:rsidRPr="001E3C87" w:rsidRDefault="00C95F88" w:rsidP="00090F8C">
            <w:pPr>
              <w:tabs>
                <w:tab w:val="left" w:pos="2116"/>
              </w:tabs>
              <w:rPr>
                <w:b/>
              </w:rPr>
            </w:pPr>
            <w:proofErr w:type="spellStart"/>
            <w:r w:rsidRPr="001E3C87">
              <w:rPr>
                <w:b/>
              </w:rPr>
              <w:t>Bruto</w:t>
            </w:r>
            <w:proofErr w:type="spellEnd"/>
            <w:r w:rsidRPr="001E3C87">
              <w:rPr>
                <w:b/>
              </w:rPr>
              <w:t xml:space="preserve"> </w:t>
            </w:r>
            <w:proofErr w:type="spellStart"/>
            <w:r w:rsidRPr="001E3C87">
              <w:rPr>
                <w:b/>
              </w:rPr>
              <w:t>plaća</w:t>
            </w:r>
            <w:proofErr w:type="spellEnd"/>
          </w:p>
        </w:tc>
        <w:tc>
          <w:tcPr>
            <w:tcW w:w="1843" w:type="dxa"/>
          </w:tcPr>
          <w:p w:rsidR="00C95F88" w:rsidRDefault="00C95F88" w:rsidP="00090F8C">
            <w:pPr>
              <w:tabs>
                <w:tab w:val="left" w:pos="2116"/>
              </w:tabs>
              <w:jc w:val="right"/>
              <w:rPr>
                <w:sz w:val="24"/>
                <w:szCs w:val="24"/>
              </w:rPr>
            </w:pPr>
            <w:r>
              <w:rPr>
                <w:sz w:val="24"/>
                <w:szCs w:val="24"/>
              </w:rPr>
              <w:t>11.924,67</w:t>
            </w:r>
          </w:p>
        </w:tc>
        <w:tc>
          <w:tcPr>
            <w:tcW w:w="1559" w:type="dxa"/>
          </w:tcPr>
          <w:p w:rsidR="00C95F88" w:rsidRDefault="00C95F88" w:rsidP="00090F8C">
            <w:pPr>
              <w:tabs>
                <w:tab w:val="left" w:pos="2116"/>
              </w:tabs>
              <w:jc w:val="right"/>
              <w:rPr>
                <w:sz w:val="24"/>
                <w:szCs w:val="24"/>
              </w:rPr>
            </w:pPr>
            <w:r>
              <w:rPr>
                <w:sz w:val="24"/>
                <w:szCs w:val="24"/>
              </w:rPr>
              <w:t>11.924,67</w:t>
            </w:r>
          </w:p>
        </w:tc>
        <w:tc>
          <w:tcPr>
            <w:tcW w:w="1417" w:type="dxa"/>
            <w:tcBorders>
              <w:bottom w:val="single" w:sz="4" w:space="0" w:color="auto"/>
            </w:tcBorders>
            <w:shd w:val="clear" w:color="auto" w:fill="auto"/>
          </w:tcPr>
          <w:p w:rsidR="00C95F88" w:rsidRDefault="00C95F88" w:rsidP="00090F8C">
            <w:pPr>
              <w:rPr>
                <w:sz w:val="24"/>
                <w:szCs w:val="24"/>
              </w:rPr>
            </w:pPr>
          </w:p>
        </w:tc>
      </w:tr>
      <w:tr w:rsidR="00C95F88" w:rsidTr="00C95F88">
        <w:tc>
          <w:tcPr>
            <w:tcW w:w="1384" w:type="dxa"/>
          </w:tcPr>
          <w:p w:rsidR="00C95F88" w:rsidRPr="001E3C87" w:rsidRDefault="00C95F88" w:rsidP="00090F8C">
            <w:pPr>
              <w:tabs>
                <w:tab w:val="left" w:pos="2116"/>
              </w:tabs>
              <w:rPr>
                <w:b/>
              </w:rPr>
            </w:pPr>
            <w:proofErr w:type="spellStart"/>
            <w:r w:rsidRPr="001E3C87">
              <w:rPr>
                <w:b/>
              </w:rPr>
              <w:t>Neto</w:t>
            </w:r>
            <w:proofErr w:type="spellEnd"/>
            <w:r w:rsidRPr="001E3C87">
              <w:rPr>
                <w:b/>
              </w:rPr>
              <w:t xml:space="preserve"> </w:t>
            </w:r>
            <w:proofErr w:type="spellStart"/>
            <w:r w:rsidRPr="001E3C87">
              <w:rPr>
                <w:b/>
              </w:rPr>
              <w:t>plaća</w:t>
            </w:r>
            <w:proofErr w:type="spellEnd"/>
          </w:p>
        </w:tc>
        <w:tc>
          <w:tcPr>
            <w:tcW w:w="1843" w:type="dxa"/>
          </w:tcPr>
          <w:p w:rsidR="00C95F88" w:rsidRDefault="00C95F88" w:rsidP="00090F8C">
            <w:pPr>
              <w:tabs>
                <w:tab w:val="left" w:pos="2116"/>
              </w:tabs>
              <w:jc w:val="right"/>
              <w:rPr>
                <w:sz w:val="24"/>
                <w:szCs w:val="24"/>
              </w:rPr>
            </w:pPr>
            <w:r>
              <w:rPr>
                <w:sz w:val="24"/>
                <w:szCs w:val="24"/>
              </w:rPr>
              <w:t>8.052,00</w:t>
            </w:r>
          </w:p>
        </w:tc>
        <w:tc>
          <w:tcPr>
            <w:tcW w:w="1559" w:type="dxa"/>
          </w:tcPr>
          <w:p w:rsidR="00C95F88" w:rsidRDefault="00C95F88" w:rsidP="00090F8C">
            <w:pPr>
              <w:tabs>
                <w:tab w:val="left" w:pos="2116"/>
              </w:tabs>
              <w:jc w:val="right"/>
              <w:rPr>
                <w:sz w:val="24"/>
                <w:szCs w:val="24"/>
              </w:rPr>
            </w:pPr>
            <w:r>
              <w:rPr>
                <w:sz w:val="24"/>
                <w:szCs w:val="24"/>
              </w:rPr>
              <w:t>7.996,90</w:t>
            </w:r>
          </w:p>
        </w:tc>
        <w:tc>
          <w:tcPr>
            <w:tcW w:w="1417" w:type="dxa"/>
            <w:tcBorders>
              <w:bottom w:val="single" w:sz="4" w:space="0" w:color="auto"/>
            </w:tcBorders>
            <w:shd w:val="clear" w:color="auto" w:fill="auto"/>
          </w:tcPr>
          <w:p w:rsidR="00C95F88" w:rsidRDefault="00C95F88" w:rsidP="00090F8C">
            <w:pPr>
              <w:tabs>
                <w:tab w:val="left" w:pos="1152"/>
              </w:tabs>
              <w:jc w:val="center"/>
              <w:rPr>
                <w:sz w:val="24"/>
                <w:szCs w:val="24"/>
              </w:rPr>
            </w:pPr>
            <w:r>
              <w:rPr>
                <w:sz w:val="24"/>
                <w:szCs w:val="24"/>
              </w:rPr>
              <w:t>55,10</w:t>
            </w:r>
          </w:p>
        </w:tc>
      </w:tr>
      <w:tr w:rsidR="00C95F88" w:rsidTr="00C95F88">
        <w:trPr>
          <w:trHeight w:val="316"/>
        </w:trPr>
        <w:tc>
          <w:tcPr>
            <w:tcW w:w="1384" w:type="dxa"/>
          </w:tcPr>
          <w:p w:rsidR="00C95F88" w:rsidRPr="001E3C87" w:rsidRDefault="00C95F88" w:rsidP="00090F8C">
            <w:pPr>
              <w:tabs>
                <w:tab w:val="left" w:pos="2116"/>
              </w:tabs>
              <w:rPr>
                <w:b/>
              </w:rPr>
            </w:pPr>
            <w:proofErr w:type="spellStart"/>
            <w:r w:rsidRPr="001E3C87">
              <w:rPr>
                <w:b/>
              </w:rPr>
              <w:t>Porez</w:t>
            </w:r>
            <w:proofErr w:type="spellEnd"/>
          </w:p>
        </w:tc>
        <w:tc>
          <w:tcPr>
            <w:tcW w:w="1843" w:type="dxa"/>
          </w:tcPr>
          <w:p w:rsidR="00C95F88" w:rsidRDefault="00C95F88" w:rsidP="00090F8C">
            <w:pPr>
              <w:tabs>
                <w:tab w:val="left" w:pos="2116"/>
              </w:tabs>
              <w:jc w:val="right"/>
              <w:rPr>
                <w:sz w:val="24"/>
                <w:szCs w:val="24"/>
              </w:rPr>
            </w:pPr>
            <w:r>
              <w:rPr>
                <w:sz w:val="24"/>
                <w:szCs w:val="24"/>
              </w:rPr>
              <w:t>1.337,54</w:t>
            </w:r>
          </w:p>
        </w:tc>
        <w:tc>
          <w:tcPr>
            <w:tcW w:w="1559" w:type="dxa"/>
          </w:tcPr>
          <w:p w:rsidR="00C95F88" w:rsidRDefault="00C95F88" w:rsidP="00090F8C">
            <w:pPr>
              <w:tabs>
                <w:tab w:val="left" w:pos="2116"/>
              </w:tabs>
              <w:jc w:val="right"/>
              <w:rPr>
                <w:sz w:val="24"/>
                <w:szCs w:val="24"/>
              </w:rPr>
            </w:pPr>
            <w:r>
              <w:rPr>
                <w:sz w:val="24"/>
                <w:szCs w:val="24"/>
              </w:rPr>
              <w:t>1.337,54</w:t>
            </w:r>
          </w:p>
        </w:tc>
        <w:tc>
          <w:tcPr>
            <w:tcW w:w="1417" w:type="dxa"/>
            <w:tcBorders>
              <w:bottom w:val="single" w:sz="4" w:space="0" w:color="auto"/>
            </w:tcBorders>
            <w:shd w:val="clear" w:color="auto" w:fill="auto"/>
          </w:tcPr>
          <w:p w:rsidR="00C95F88" w:rsidRDefault="00C95F88" w:rsidP="00090F8C">
            <w:pPr>
              <w:jc w:val="center"/>
              <w:rPr>
                <w:sz w:val="24"/>
                <w:szCs w:val="24"/>
              </w:rPr>
            </w:pPr>
          </w:p>
        </w:tc>
      </w:tr>
      <w:tr w:rsidR="00C95F88" w:rsidRPr="00FA4447" w:rsidTr="00C95F88">
        <w:trPr>
          <w:trHeight w:val="60"/>
        </w:trPr>
        <w:tc>
          <w:tcPr>
            <w:tcW w:w="1384" w:type="dxa"/>
          </w:tcPr>
          <w:p w:rsidR="00C95F88" w:rsidRPr="00FA4447" w:rsidRDefault="00C95F88" w:rsidP="00090F8C">
            <w:pPr>
              <w:tabs>
                <w:tab w:val="left" w:pos="2116"/>
              </w:tabs>
              <w:rPr>
                <w:b/>
              </w:rPr>
            </w:pPr>
            <w:proofErr w:type="spellStart"/>
            <w:r w:rsidRPr="00FA4447">
              <w:rPr>
                <w:b/>
              </w:rPr>
              <w:t>Prirez</w:t>
            </w:r>
            <w:proofErr w:type="spellEnd"/>
          </w:p>
        </w:tc>
        <w:tc>
          <w:tcPr>
            <w:tcW w:w="1843" w:type="dxa"/>
          </w:tcPr>
          <w:p w:rsidR="00C95F88" w:rsidRPr="00FA4447" w:rsidRDefault="00C95F88" w:rsidP="00090F8C">
            <w:pPr>
              <w:tabs>
                <w:tab w:val="left" w:pos="2116"/>
              </w:tabs>
              <w:jc w:val="right"/>
              <w:rPr>
                <w:b/>
                <w:sz w:val="24"/>
                <w:szCs w:val="24"/>
              </w:rPr>
            </w:pPr>
            <w:r w:rsidRPr="00FA4447">
              <w:rPr>
                <w:b/>
                <w:sz w:val="24"/>
                <w:szCs w:val="24"/>
              </w:rPr>
              <w:t>110,20</w:t>
            </w:r>
          </w:p>
        </w:tc>
        <w:tc>
          <w:tcPr>
            <w:tcW w:w="1559" w:type="dxa"/>
          </w:tcPr>
          <w:p w:rsidR="00C95F88" w:rsidRPr="00FA4447" w:rsidRDefault="00C95F88" w:rsidP="00090F8C">
            <w:pPr>
              <w:tabs>
                <w:tab w:val="left" w:pos="2116"/>
              </w:tabs>
              <w:jc w:val="right"/>
              <w:rPr>
                <w:b/>
                <w:sz w:val="24"/>
                <w:szCs w:val="24"/>
              </w:rPr>
            </w:pPr>
            <w:r w:rsidRPr="00FA4447">
              <w:rPr>
                <w:b/>
                <w:sz w:val="24"/>
                <w:szCs w:val="24"/>
              </w:rPr>
              <w:t>165,30</w:t>
            </w:r>
          </w:p>
        </w:tc>
        <w:tc>
          <w:tcPr>
            <w:tcW w:w="1417" w:type="dxa"/>
            <w:tcBorders>
              <w:bottom w:val="single" w:sz="4" w:space="0" w:color="auto"/>
            </w:tcBorders>
            <w:shd w:val="clear" w:color="auto" w:fill="auto"/>
          </w:tcPr>
          <w:p w:rsidR="00C95F88" w:rsidRPr="00FA4447" w:rsidRDefault="00C95F88" w:rsidP="00090F8C">
            <w:pPr>
              <w:jc w:val="center"/>
              <w:rPr>
                <w:b/>
                <w:sz w:val="24"/>
                <w:szCs w:val="24"/>
              </w:rPr>
            </w:pPr>
            <w:r w:rsidRPr="00FA4447">
              <w:rPr>
                <w:b/>
                <w:sz w:val="24"/>
                <w:szCs w:val="24"/>
              </w:rPr>
              <w:t>55,10</w:t>
            </w:r>
          </w:p>
        </w:tc>
      </w:tr>
    </w:tbl>
    <w:p w:rsidR="00001F63" w:rsidRDefault="00001F63" w:rsidP="00001F63">
      <w:pPr>
        <w:tabs>
          <w:tab w:val="left" w:pos="2116"/>
        </w:tabs>
        <w:rPr>
          <w:sz w:val="24"/>
          <w:szCs w:val="24"/>
        </w:rPr>
      </w:pPr>
    </w:p>
    <w:p w:rsidR="0098421F" w:rsidRDefault="0098421F" w:rsidP="00001F63">
      <w:pPr>
        <w:tabs>
          <w:tab w:val="left" w:pos="2116"/>
        </w:tabs>
        <w:rPr>
          <w:sz w:val="24"/>
          <w:szCs w:val="24"/>
        </w:rPr>
      </w:pPr>
    </w:p>
    <w:p w:rsidR="0098421F" w:rsidRDefault="0098421F" w:rsidP="00001F63">
      <w:pPr>
        <w:tabs>
          <w:tab w:val="left" w:pos="2116"/>
        </w:tabs>
        <w:rPr>
          <w:sz w:val="24"/>
          <w:szCs w:val="24"/>
        </w:rPr>
      </w:pPr>
    </w:p>
    <w:p w:rsidR="00001F63" w:rsidRPr="00C13DEF" w:rsidRDefault="00001F63" w:rsidP="00001F63">
      <w:pPr>
        <w:tabs>
          <w:tab w:val="left" w:pos="2116"/>
        </w:tabs>
        <w:rPr>
          <w:b/>
          <w:sz w:val="24"/>
          <w:szCs w:val="24"/>
        </w:rPr>
      </w:pPr>
      <w:proofErr w:type="gramStart"/>
      <w:r w:rsidRPr="00C13DEF">
        <w:rPr>
          <w:b/>
          <w:sz w:val="24"/>
          <w:szCs w:val="24"/>
        </w:rPr>
        <w:t>PRIMJER 3.</w:t>
      </w:r>
      <w:proofErr w:type="gramEnd"/>
    </w:p>
    <w:tbl>
      <w:tblPr>
        <w:tblStyle w:val="Reetkatablice"/>
        <w:tblW w:w="6203" w:type="dxa"/>
        <w:tblLook w:val="04A0"/>
      </w:tblPr>
      <w:tblGrid>
        <w:gridCol w:w="1303"/>
        <w:gridCol w:w="1924"/>
        <w:gridCol w:w="1559"/>
        <w:gridCol w:w="1417"/>
      </w:tblGrid>
      <w:tr w:rsidR="00C95F88" w:rsidTr="00C95F88">
        <w:trPr>
          <w:trHeight w:val="438"/>
        </w:trPr>
        <w:tc>
          <w:tcPr>
            <w:tcW w:w="1303" w:type="dxa"/>
            <w:vAlign w:val="center"/>
          </w:tcPr>
          <w:p w:rsidR="00C95F88" w:rsidRDefault="00C95F88" w:rsidP="005E779E">
            <w:pPr>
              <w:tabs>
                <w:tab w:val="left" w:pos="2116"/>
              </w:tabs>
              <w:jc w:val="center"/>
              <w:rPr>
                <w:b/>
              </w:rPr>
            </w:pPr>
          </w:p>
          <w:p w:rsidR="00C95F88" w:rsidRPr="001E3C87" w:rsidRDefault="00C95F88" w:rsidP="005E779E">
            <w:pPr>
              <w:tabs>
                <w:tab w:val="left" w:pos="2116"/>
              </w:tabs>
              <w:jc w:val="center"/>
              <w:rPr>
                <w:b/>
              </w:rPr>
            </w:pPr>
            <w:r w:rsidRPr="001E3C87">
              <w:rPr>
                <w:b/>
              </w:rPr>
              <w:t>PLAĆA</w:t>
            </w:r>
          </w:p>
        </w:tc>
        <w:tc>
          <w:tcPr>
            <w:tcW w:w="1924" w:type="dxa"/>
            <w:vAlign w:val="center"/>
          </w:tcPr>
          <w:p w:rsidR="00C95F88" w:rsidRPr="001E3C87" w:rsidRDefault="00C95F88" w:rsidP="005E779E">
            <w:pPr>
              <w:tabs>
                <w:tab w:val="left" w:pos="2116"/>
              </w:tabs>
              <w:jc w:val="center"/>
              <w:rPr>
                <w:b/>
              </w:rPr>
            </w:pPr>
            <w:r w:rsidRPr="001E3C87">
              <w:rPr>
                <w:b/>
              </w:rPr>
              <w:t>PRIREZ 8%</w:t>
            </w:r>
          </w:p>
        </w:tc>
        <w:tc>
          <w:tcPr>
            <w:tcW w:w="1559" w:type="dxa"/>
            <w:vAlign w:val="center"/>
          </w:tcPr>
          <w:p w:rsidR="00C95F88" w:rsidRPr="001E3C87" w:rsidRDefault="00C95F88" w:rsidP="005E779E">
            <w:pPr>
              <w:tabs>
                <w:tab w:val="left" w:pos="2116"/>
              </w:tabs>
              <w:jc w:val="center"/>
              <w:rPr>
                <w:b/>
              </w:rPr>
            </w:pPr>
            <w:r w:rsidRPr="001E3C87">
              <w:rPr>
                <w:b/>
              </w:rPr>
              <w:t>PRIREZ 12%</w:t>
            </w:r>
          </w:p>
        </w:tc>
        <w:tc>
          <w:tcPr>
            <w:tcW w:w="1417" w:type="dxa"/>
            <w:tcBorders>
              <w:bottom w:val="single" w:sz="4" w:space="0" w:color="auto"/>
            </w:tcBorders>
            <w:shd w:val="clear" w:color="auto" w:fill="auto"/>
          </w:tcPr>
          <w:p w:rsidR="00C95F88" w:rsidRPr="001E3C87" w:rsidRDefault="00C95F88" w:rsidP="00090F8C">
            <w:pPr>
              <w:jc w:val="center"/>
              <w:rPr>
                <w:b/>
              </w:rPr>
            </w:pPr>
            <w:r w:rsidRPr="001E3C87">
              <w:rPr>
                <w:b/>
              </w:rPr>
              <w:t>RAZLIKA</w:t>
            </w:r>
          </w:p>
          <w:p w:rsidR="00C95F88" w:rsidRPr="001E3C87" w:rsidRDefault="00C95F88" w:rsidP="00090F8C">
            <w:pPr>
              <w:jc w:val="center"/>
              <w:rPr>
                <w:b/>
              </w:rPr>
            </w:pPr>
            <w:r>
              <w:rPr>
                <w:b/>
              </w:rPr>
              <w:t>3</w:t>
            </w:r>
            <w:r w:rsidRPr="001E3C87">
              <w:rPr>
                <w:b/>
              </w:rPr>
              <w:t xml:space="preserve"> - 2</w:t>
            </w:r>
          </w:p>
        </w:tc>
      </w:tr>
      <w:tr w:rsidR="00C95F88" w:rsidTr="00C95F88">
        <w:trPr>
          <w:trHeight w:val="113"/>
        </w:trPr>
        <w:tc>
          <w:tcPr>
            <w:tcW w:w="1303" w:type="dxa"/>
          </w:tcPr>
          <w:p w:rsidR="00C95F88" w:rsidRPr="001E3C87" w:rsidRDefault="00C95F88" w:rsidP="00090F8C">
            <w:pPr>
              <w:tabs>
                <w:tab w:val="left" w:pos="2116"/>
              </w:tabs>
              <w:jc w:val="center"/>
              <w:rPr>
                <w:b/>
              </w:rPr>
            </w:pPr>
            <w:r w:rsidRPr="001E3C87">
              <w:rPr>
                <w:b/>
              </w:rPr>
              <w:t>1</w:t>
            </w:r>
          </w:p>
        </w:tc>
        <w:tc>
          <w:tcPr>
            <w:tcW w:w="1924" w:type="dxa"/>
          </w:tcPr>
          <w:p w:rsidR="00C95F88" w:rsidRPr="001E3C87" w:rsidRDefault="00C95F88" w:rsidP="00090F8C">
            <w:pPr>
              <w:tabs>
                <w:tab w:val="left" w:pos="2116"/>
              </w:tabs>
              <w:jc w:val="center"/>
              <w:rPr>
                <w:b/>
              </w:rPr>
            </w:pPr>
            <w:r w:rsidRPr="001E3C87">
              <w:rPr>
                <w:b/>
              </w:rPr>
              <w:t>2</w:t>
            </w:r>
          </w:p>
        </w:tc>
        <w:tc>
          <w:tcPr>
            <w:tcW w:w="1559" w:type="dxa"/>
          </w:tcPr>
          <w:p w:rsidR="00C95F88" w:rsidRPr="001E3C87" w:rsidRDefault="00C95F88" w:rsidP="00090F8C">
            <w:pPr>
              <w:tabs>
                <w:tab w:val="left" w:pos="2116"/>
              </w:tabs>
              <w:jc w:val="center"/>
              <w:rPr>
                <w:b/>
              </w:rPr>
            </w:pPr>
            <w:r>
              <w:rPr>
                <w:b/>
              </w:rPr>
              <w:t>3</w:t>
            </w:r>
          </w:p>
        </w:tc>
        <w:tc>
          <w:tcPr>
            <w:tcW w:w="1417" w:type="dxa"/>
            <w:tcBorders>
              <w:bottom w:val="single" w:sz="4" w:space="0" w:color="auto"/>
            </w:tcBorders>
            <w:shd w:val="clear" w:color="auto" w:fill="auto"/>
          </w:tcPr>
          <w:p w:rsidR="00C95F88" w:rsidRPr="001E3C87" w:rsidRDefault="00C95F88" w:rsidP="00090F8C">
            <w:pPr>
              <w:jc w:val="center"/>
              <w:rPr>
                <w:b/>
              </w:rPr>
            </w:pPr>
            <w:r>
              <w:rPr>
                <w:b/>
              </w:rPr>
              <w:t>4</w:t>
            </w:r>
          </w:p>
        </w:tc>
      </w:tr>
      <w:tr w:rsidR="00C95F88" w:rsidTr="00C95F88">
        <w:tc>
          <w:tcPr>
            <w:tcW w:w="1303" w:type="dxa"/>
          </w:tcPr>
          <w:p w:rsidR="00C95F88" w:rsidRPr="001E3C87" w:rsidRDefault="00C95F88" w:rsidP="00090F8C">
            <w:pPr>
              <w:tabs>
                <w:tab w:val="left" w:pos="2116"/>
              </w:tabs>
              <w:rPr>
                <w:b/>
              </w:rPr>
            </w:pPr>
            <w:proofErr w:type="spellStart"/>
            <w:r w:rsidRPr="001E3C87">
              <w:rPr>
                <w:b/>
              </w:rPr>
              <w:t>Bruto</w:t>
            </w:r>
            <w:proofErr w:type="spellEnd"/>
            <w:r w:rsidRPr="001E3C87">
              <w:rPr>
                <w:b/>
              </w:rPr>
              <w:t xml:space="preserve"> </w:t>
            </w:r>
            <w:proofErr w:type="spellStart"/>
            <w:r w:rsidRPr="001E3C87">
              <w:rPr>
                <w:b/>
              </w:rPr>
              <w:t>plaća</w:t>
            </w:r>
            <w:proofErr w:type="spellEnd"/>
          </w:p>
        </w:tc>
        <w:tc>
          <w:tcPr>
            <w:tcW w:w="1924" w:type="dxa"/>
          </w:tcPr>
          <w:p w:rsidR="00C95F88" w:rsidRDefault="00C95F88" w:rsidP="00090F8C">
            <w:pPr>
              <w:tabs>
                <w:tab w:val="left" w:pos="2116"/>
              </w:tabs>
              <w:jc w:val="right"/>
              <w:rPr>
                <w:sz w:val="24"/>
                <w:szCs w:val="24"/>
              </w:rPr>
            </w:pPr>
            <w:r>
              <w:rPr>
                <w:sz w:val="24"/>
                <w:szCs w:val="24"/>
              </w:rPr>
              <w:t>21.041,51</w:t>
            </w:r>
          </w:p>
        </w:tc>
        <w:tc>
          <w:tcPr>
            <w:tcW w:w="1559" w:type="dxa"/>
          </w:tcPr>
          <w:p w:rsidR="00C95F88" w:rsidRDefault="00C95F88" w:rsidP="00090F8C">
            <w:pPr>
              <w:tabs>
                <w:tab w:val="left" w:pos="2116"/>
              </w:tabs>
              <w:jc w:val="right"/>
              <w:rPr>
                <w:sz w:val="24"/>
                <w:szCs w:val="24"/>
              </w:rPr>
            </w:pPr>
            <w:r>
              <w:rPr>
                <w:sz w:val="24"/>
                <w:szCs w:val="24"/>
              </w:rPr>
              <w:t>21.041,51</w:t>
            </w:r>
          </w:p>
        </w:tc>
        <w:tc>
          <w:tcPr>
            <w:tcW w:w="1417" w:type="dxa"/>
            <w:tcBorders>
              <w:bottom w:val="single" w:sz="4" w:space="0" w:color="auto"/>
            </w:tcBorders>
            <w:shd w:val="clear" w:color="auto" w:fill="auto"/>
          </w:tcPr>
          <w:p w:rsidR="00C95F88" w:rsidRDefault="00C95F88" w:rsidP="00090F8C">
            <w:pPr>
              <w:jc w:val="center"/>
              <w:rPr>
                <w:sz w:val="24"/>
                <w:szCs w:val="24"/>
              </w:rPr>
            </w:pPr>
          </w:p>
        </w:tc>
      </w:tr>
      <w:tr w:rsidR="00C95F88" w:rsidTr="00C95F88">
        <w:tc>
          <w:tcPr>
            <w:tcW w:w="1303" w:type="dxa"/>
          </w:tcPr>
          <w:p w:rsidR="00C95F88" w:rsidRPr="001E3C87" w:rsidRDefault="00C95F88" w:rsidP="00090F8C">
            <w:pPr>
              <w:tabs>
                <w:tab w:val="left" w:pos="2116"/>
              </w:tabs>
              <w:rPr>
                <w:b/>
              </w:rPr>
            </w:pPr>
            <w:proofErr w:type="spellStart"/>
            <w:r w:rsidRPr="001E3C87">
              <w:rPr>
                <w:b/>
              </w:rPr>
              <w:t>Neto</w:t>
            </w:r>
            <w:proofErr w:type="spellEnd"/>
            <w:r w:rsidRPr="001E3C87">
              <w:rPr>
                <w:b/>
              </w:rPr>
              <w:t xml:space="preserve"> </w:t>
            </w:r>
            <w:proofErr w:type="spellStart"/>
            <w:r w:rsidRPr="001E3C87">
              <w:rPr>
                <w:b/>
              </w:rPr>
              <w:t>plaća</w:t>
            </w:r>
            <w:proofErr w:type="spellEnd"/>
          </w:p>
        </w:tc>
        <w:tc>
          <w:tcPr>
            <w:tcW w:w="1924" w:type="dxa"/>
          </w:tcPr>
          <w:p w:rsidR="00C95F88" w:rsidRDefault="00C95F88" w:rsidP="00090F8C">
            <w:pPr>
              <w:tabs>
                <w:tab w:val="left" w:pos="2116"/>
              </w:tabs>
              <w:jc w:val="right"/>
              <w:rPr>
                <w:sz w:val="24"/>
                <w:szCs w:val="24"/>
              </w:rPr>
            </w:pPr>
            <w:r>
              <w:rPr>
                <w:sz w:val="24"/>
                <w:szCs w:val="24"/>
              </w:rPr>
              <w:t>13.455,00</w:t>
            </w:r>
          </w:p>
        </w:tc>
        <w:tc>
          <w:tcPr>
            <w:tcW w:w="1559" w:type="dxa"/>
          </w:tcPr>
          <w:p w:rsidR="00C95F88" w:rsidRDefault="00C95F88" w:rsidP="00090F8C">
            <w:pPr>
              <w:tabs>
                <w:tab w:val="left" w:pos="2116"/>
              </w:tabs>
              <w:jc w:val="right"/>
              <w:rPr>
                <w:sz w:val="24"/>
                <w:szCs w:val="24"/>
              </w:rPr>
            </w:pPr>
            <w:r>
              <w:rPr>
                <w:sz w:val="24"/>
                <w:szCs w:val="24"/>
              </w:rPr>
              <w:t>13.329,88</w:t>
            </w:r>
          </w:p>
        </w:tc>
        <w:tc>
          <w:tcPr>
            <w:tcW w:w="1417" w:type="dxa"/>
            <w:tcBorders>
              <w:bottom w:val="single" w:sz="4" w:space="0" w:color="auto"/>
            </w:tcBorders>
            <w:shd w:val="clear" w:color="auto" w:fill="auto"/>
          </w:tcPr>
          <w:p w:rsidR="00C95F88" w:rsidRDefault="00C95F88" w:rsidP="00090F8C">
            <w:pPr>
              <w:jc w:val="center"/>
              <w:rPr>
                <w:sz w:val="24"/>
                <w:szCs w:val="24"/>
              </w:rPr>
            </w:pPr>
            <w:r>
              <w:rPr>
                <w:sz w:val="24"/>
                <w:szCs w:val="24"/>
              </w:rPr>
              <w:t>125,12</w:t>
            </w:r>
          </w:p>
        </w:tc>
      </w:tr>
      <w:tr w:rsidR="00C95F88" w:rsidTr="00C95F88">
        <w:trPr>
          <w:trHeight w:val="316"/>
        </w:trPr>
        <w:tc>
          <w:tcPr>
            <w:tcW w:w="1303" w:type="dxa"/>
          </w:tcPr>
          <w:p w:rsidR="00C95F88" w:rsidRPr="001E3C87" w:rsidRDefault="00C95F88" w:rsidP="00090F8C">
            <w:pPr>
              <w:tabs>
                <w:tab w:val="left" w:pos="2116"/>
              </w:tabs>
              <w:rPr>
                <w:b/>
              </w:rPr>
            </w:pPr>
            <w:proofErr w:type="spellStart"/>
            <w:r w:rsidRPr="001E3C87">
              <w:rPr>
                <w:b/>
              </w:rPr>
              <w:t>Porez</w:t>
            </w:r>
            <w:proofErr w:type="spellEnd"/>
          </w:p>
        </w:tc>
        <w:tc>
          <w:tcPr>
            <w:tcW w:w="1924" w:type="dxa"/>
          </w:tcPr>
          <w:p w:rsidR="00C95F88" w:rsidRDefault="00C95F88" w:rsidP="00090F8C">
            <w:pPr>
              <w:tabs>
                <w:tab w:val="left" w:pos="2116"/>
              </w:tabs>
              <w:jc w:val="right"/>
              <w:rPr>
                <w:sz w:val="24"/>
                <w:szCs w:val="24"/>
              </w:rPr>
            </w:pPr>
            <w:r>
              <w:rPr>
                <w:sz w:val="24"/>
                <w:szCs w:val="24"/>
              </w:rPr>
              <w:t>3.127,97</w:t>
            </w:r>
          </w:p>
        </w:tc>
        <w:tc>
          <w:tcPr>
            <w:tcW w:w="1559" w:type="dxa"/>
          </w:tcPr>
          <w:p w:rsidR="00C95F88" w:rsidRDefault="00C95F88" w:rsidP="00090F8C">
            <w:pPr>
              <w:tabs>
                <w:tab w:val="left" w:pos="2116"/>
              </w:tabs>
              <w:jc w:val="right"/>
              <w:rPr>
                <w:sz w:val="24"/>
                <w:szCs w:val="24"/>
              </w:rPr>
            </w:pPr>
            <w:r>
              <w:rPr>
                <w:sz w:val="24"/>
                <w:szCs w:val="24"/>
              </w:rPr>
              <w:t>3.127,97</w:t>
            </w:r>
          </w:p>
        </w:tc>
        <w:tc>
          <w:tcPr>
            <w:tcW w:w="1417" w:type="dxa"/>
            <w:tcBorders>
              <w:bottom w:val="single" w:sz="4" w:space="0" w:color="auto"/>
            </w:tcBorders>
            <w:shd w:val="clear" w:color="auto" w:fill="auto"/>
          </w:tcPr>
          <w:p w:rsidR="00C95F88" w:rsidRDefault="00C95F88" w:rsidP="00090F8C">
            <w:pPr>
              <w:jc w:val="center"/>
              <w:rPr>
                <w:sz w:val="24"/>
                <w:szCs w:val="24"/>
              </w:rPr>
            </w:pPr>
          </w:p>
        </w:tc>
      </w:tr>
      <w:tr w:rsidR="00C95F88" w:rsidRPr="00FA4447" w:rsidTr="00C95F88">
        <w:tc>
          <w:tcPr>
            <w:tcW w:w="1303" w:type="dxa"/>
          </w:tcPr>
          <w:p w:rsidR="00C95F88" w:rsidRPr="00FA4447" w:rsidRDefault="00C95F88" w:rsidP="00090F8C">
            <w:pPr>
              <w:tabs>
                <w:tab w:val="left" w:pos="2116"/>
              </w:tabs>
              <w:rPr>
                <w:b/>
              </w:rPr>
            </w:pPr>
            <w:proofErr w:type="spellStart"/>
            <w:r w:rsidRPr="00FA4447">
              <w:rPr>
                <w:b/>
              </w:rPr>
              <w:t>Prirez</w:t>
            </w:r>
            <w:proofErr w:type="spellEnd"/>
          </w:p>
        </w:tc>
        <w:tc>
          <w:tcPr>
            <w:tcW w:w="1924" w:type="dxa"/>
          </w:tcPr>
          <w:p w:rsidR="00C95F88" w:rsidRPr="00FA4447" w:rsidRDefault="00C95F88" w:rsidP="00090F8C">
            <w:pPr>
              <w:tabs>
                <w:tab w:val="left" w:pos="2116"/>
              </w:tabs>
              <w:jc w:val="right"/>
              <w:rPr>
                <w:b/>
                <w:sz w:val="24"/>
                <w:szCs w:val="24"/>
              </w:rPr>
            </w:pPr>
            <w:r w:rsidRPr="00FA4447">
              <w:rPr>
                <w:b/>
                <w:sz w:val="24"/>
                <w:szCs w:val="24"/>
              </w:rPr>
              <w:t>250,24</w:t>
            </w:r>
          </w:p>
        </w:tc>
        <w:tc>
          <w:tcPr>
            <w:tcW w:w="1559" w:type="dxa"/>
          </w:tcPr>
          <w:p w:rsidR="00C95F88" w:rsidRPr="00FA4447" w:rsidRDefault="00C95F88" w:rsidP="00090F8C">
            <w:pPr>
              <w:tabs>
                <w:tab w:val="left" w:pos="2116"/>
              </w:tabs>
              <w:jc w:val="right"/>
              <w:rPr>
                <w:b/>
                <w:sz w:val="24"/>
                <w:szCs w:val="24"/>
              </w:rPr>
            </w:pPr>
            <w:r w:rsidRPr="00FA4447">
              <w:rPr>
                <w:b/>
                <w:sz w:val="24"/>
                <w:szCs w:val="24"/>
              </w:rPr>
              <w:t>375,36</w:t>
            </w:r>
          </w:p>
        </w:tc>
        <w:tc>
          <w:tcPr>
            <w:tcW w:w="1417" w:type="dxa"/>
            <w:tcBorders>
              <w:bottom w:val="single" w:sz="4" w:space="0" w:color="auto"/>
            </w:tcBorders>
            <w:shd w:val="clear" w:color="auto" w:fill="auto"/>
          </w:tcPr>
          <w:p w:rsidR="00C95F88" w:rsidRPr="00FA4447" w:rsidRDefault="00C95F88" w:rsidP="00090F8C">
            <w:pPr>
              <w:jc w:val="center"/>
              <w:rPr>
                <w:b/>
                <w:sz w:val="24"/>
                <w:szCs w:val="24"/>
              </w:rPr>
            </w:pPr>
            <w:r w:rsidRPr="00FA4447">
              <w:rPr>
                <w:b/>
                <w:sz w:val="24"/>
                <w:szCs w:val="24"/>
              </w:rPr>
              <w:t>125,12</w:t>
            </w:r>
          </w:p>
        </w:tc>
      </w:tr>
    </w:tbl>
    <w:p w:rsidR="00001F63" w:rsidRPr="002E0430" w:rsidRDefault="00001F63" w:rsidP="00001F63">
      <w:pPr>
        <w:tabs>
          <w:tab w:val="left" w:pos="2116"/>
        </w:tabs>
        <w:rPr>
          <w:sz w:val="24"/>
          <w:szCs w:val="24"/>
        </w:rPr>
      </w:pPr>
    </w:p>
    <w:p w:rsidR="00222373" w:rsidRPr="00222373" w:rsidRDefault="00222373" w:rsidP="00222373">
      <w:pPr>
        <w:jc w:val="center"/>
        <w:rPr>
          <w:sz w:val="24"/>
          <w:szCs w:val="24"/>
          <w:lang w:val="hr-HR"/>
        </w:rPr>
      </w:pPr>
    </w:p>
    <w:sectPr w:rsidR="00222373" w:rsidRPr="00222373" w:rsidSect="00CE573E">
      <w:footerReference w:type="default" r:id="rId10"/>
      <w:pgSz w:w="12240" w:h="15840"/>
      <w:pgMar w:top="709"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58C" w:rsidRDefault="0033358C" w:rsidP="00992AC1">
      <w:r>
        <w:separator/>
      </w:r>
    </w:p>
  </w:endnote>
  <w:endnote w:type="continuationSeparator" w:id="0">
    <w:p w:rsidR="0033358C" w:rsidRDefault="0033358C" w:rsidP="00992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6501"/>
      <w:docPartObj>
        <w:docPartGallery w:val="Page Numbers (Bottom of Page)"/>
        <w:docPartUnique/>
      </w:docPartObj>
    </w:sdtPr>
    <w:sdtContent>
      <w:p w:rsidR="003306D2" w:rsidRDefault="00C87FE1">
        <w:pPr>
          <w:pStyle w:val="Podnoje"/>
          <w:jc w:val="center"/>
        </w:pPr>
        <w:fldSimple w:instr=" PAGE   \* MERGEFORMAT ">
          <w:r w:rsidR="004D5B3D">
            <w:rPr>
              <w:noProof/>
            </w:rPr>
            <w:t>8</w:t>
          </w:r>
        </w:fldSimple>
      </w:p>
    </w:sdtContent>
  </w:sdt>
  <w:p w:rsidR="003306D2" w:rsidRDefault="003306D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58C" w:rsidRDefault="0033358C" w:rsidP="00992AC1">
      <w:r>
        <w:separator/>
      </w:r>
    </w:p>
  </w:footnote>
  <w:footnote w:type="continuationSeparator" w:id="0">
    <w:p w:rsidR="0033358C" w:rsidRDefault="0033358C" w:rsidP="00992A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4602"/>
    <w:multiLevelType w:val="hybridMultilevel"/>
    <w:tmpl w:val="F184E9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9E50E2D"/>
    <w:multiLevelType w:val="singleLevel"/>
    <w:tmpl w:val="27B6B6B8"/>
    <w:lvl w:ilvl="0">
      <w:start w:val="14"/>
      <w:numFmt w:val="bullet"/>
      <w:lvlText w:val="-"/>
      <w:lvlJc w:val="left"/>
      <w:pPr>
        <w:tabs>
          <w:tab w:val="num" w:pos="1797"/>
        </w:tabs>
        <w:ind w:left="1797" w:hanging="360"/>
      </w:pPr>
      <w:rPr>
        <w:rFonts w:ascii="Times New Roman" w:hAnsi="Times New Roman" w:hint="default"/>
      </w:rPr>
    </w:lvl>
  </w:abstractNum>
  <w:abstractNum w:abstractNumId="2">
    <w:nsid w:val="1E3F1F50"/>
    <w:multiLevelType w:val="hybridMultilevel"/>
    <w:tmpl w:val="92EC136C"/>
    <w:lvl w:ilvl="0" w:tplc="32BEF4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2CB6486"/>
    <w:multiLevelType w:val="singleLevel"/>
    <w:tmpl w:val="B19638B0"/>
    <w:lvl w:ilvl="0">
      <w:start w:val="7"/>
      <w:numFmt w:val="upperRoman"/>
      <w:pStyle w:val="Naslov4"/>
      <w:lvlText w:val="%1."/>
      <w:lvlJc w:val="left"/>
      <w:pPr>
        <w:tabs>
          <w:tab w:val="num" w:pos="1440"/>
        </w:tabs>
        <w:ind w:left="1440" w:hanging="720"/>
      </w:pPr>
      <w:rPr>
        <w:rFonts w:hint="default"/>
      </w:rPr>
    </w:lvl>
  </w:abstractNum>
  <w:abstractNum w:abstractNumId="4">
    <w:nsid w:val="345F6537"/>
    <w:multiLevelType w:val="hybridMultilevel"/>
    <w:tmpl w:val="F184E9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6EF2B04"/>
    <w:multiLevelType w:val="hybridMultilevel"/>
    <w:tmpl w:val="9D2E6926"/>
    <w:lvl w:ilvl="0" w:tplc="EF2CFA28">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nsid w:val="3DBE625D"/>
    <w:multiLevelType w:val="singleLevel"/>
    <w:tmpl w:val="AFDC1478"/>
    <w:lvl w:ilvl="0">
      <w:numFmt w:val="bullet"/>
      <w:lvlText w:val="-"/>
      <w:lvlJc w:val="left"/>
      <w:pPr>
        <w:tabs>
          <w:tab w:val="num" w:pos="1917"/>
        </w:tabs>
        <w:ind w:left="1917" w:hanging="360"/>
      </w:pPr>
      <w:rPr>
        <w:rFonts w:hint="default"/>
      </w:rPr>
    </w:lvl>
  </w:abstractNum>
  <w:abstractNum w:abstractNumId="7">
    <w:nsid w:val="45576324"/>
    <w:multiLevelType w:val="hybridMultilevel"/>
    <w:tmpl w:val="296442F4"/>
    <w:lvl w:ilvl="0" w:tplc="A19087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5F87FAA"/>
    <w:multiLevelType w:val="hybridMultilevel"/>
    <w:tmpl w:val="F184E9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70F4F19"/>
    <w:multiLevelType w:val="hybridMultilevel"/>
    <w:tmpl w:val="F484FC1A"/>
    <w:lvl w:ilvl="0" w:tplc="1B5260C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nsid w:val="4A7653D3"/>
    <w:multiLevelType w:val="hybridMultilevel"/>
    <w:tmpl w:val="7F5083EE"/>
    <w:lvl w:ilvl="0" w:tplc="99409B3A">
      <w:start w:val="7"/>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1">
    <w:nsid w:val="609E6B5C"/>
    <w:multiLevelType w:val="multilevel"/>
    <w:tmpl w:val="6FDEFE46"/>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64893014"/>
    <w:multiLevelType w:val="hybridMultilevel"/>
    <w:tmpl w:val="F766BA74"/>
    <w:lvl w:ilvl="0" w:tplc="D4E03B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C053FCD"/>
    <w:multiLevelType w:val="hybridMultilevel"/>
    <w:tmpl w:val="E98415BE"/>
    <w:lvl w:ilvl="0" w:tplc="14FE93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3"/>
  </w:num>
  <w:num w:numId="3">
    <w:abstractNumId w:val="6"/>
  </w:num>
  <w:num w:numId="4">
    <w:abstractNumId w:val="10"/>
  </w:num>
  <w:num w:numId="5">
    <w:abstractNumId w:val="0"/>
  </w:num>
  <w:num w:numId="6">
    <w:abstractNumId w:val="4"/>
  </w:num>
  <w:num w:numId="7">
    <w:abstractNumId w:val="8"/>
  </w:num>
  <w:num w:numId="8">
    <w:abstractNumId w:val="12"/>
  </w:num>
  <w:num w:numId="9">
    <w:abstractNumId w:val="2"/>
  </w:num>
  <w:num w:numId="10">
    <w:abstractNumId w:val="13"/>
  </w:num>
  <w:num w:numId="11">
    <w:abstractNumId w:val="7"/>
  </w:num>
  <w:num w:numId="12">
    <w:abstractNumId w:val="11"/>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C1721"/>
    <w:rsid w:val="00001F63"/>
    <w:rsid w:val="0001123E"/>
    <w:rsid w:val="000174F1"/>
    <w:rsid w:val="00021207"/>
    <w:rsid w:val="00030A00"/>
    <w:rsid w:val="00045E92"/>
    <w:rsid w:val="00046843"/>
    <w:rsid w:val="0004761B"/>
    <w:rsid w:val="000531B9"/>
    <w:rsid w:val="00057FFA"/>
    <w:rsid w:val="00063846"/>
    <w:rsid w:val="000678F8"/>
    <w:rsid w:val="00070A8A"/>
    <w:rsid w:val="00075CB5"/>
    <w:rsid w:val="000763A8"/>
    <w:rsid w:val="000777B0"/>
    <w:rsid w:val="000810D6"/>
    <w:rsid w:val="00083B75"/>
    <w:rsid w:val="00090F8C"/>
    <w:rsid w:val="00094B34"/>
    <w:rsid w:val="000953BA"/>
    <w:rsid w:val="00096F50"/>
    <w:rsid w:val="000A14F0"/>
    <w:rsid w:val="000A18F6"/>
    <w:rsid w:val="000A7F83"/>
    <w:rsid w:val="000B0167"/>
    <w:rsid w:val="000B1A23"/>
    <w:rsid w:val="000B282C"/>
    <w:rsid w:val="000B4AC0"/>
    <w:rsid w:val="000C2DA8"/>
    <w:rsid w:val="000D2354"/>
    <w:rsid w:val="000D30DF"/>
    <w:rsid w:val="000D7B6C"/>
    <w:rsid w:val="000E6C23"/>
    <w:rsid w:val="000E75CA"/>
    <w:rsid w:val="000F4EE1"/>
    <w:rsid w:val="000F539A"/>
    <w:rsid w:val="00117438"/>
    <w:rsid w:val="00122494"/>
    <w:rsid w:val="0012383D"/>
    <w:rsid w:val="00154137"/>
    <w:rsid w:val="00165732"/>
    <w:rsid w:val="0017093B"/>
    <w:rsid w:val="00173063"/>
    <w:rsid w:val="00173D7A"/>
    <w:rsid w:val="001834D0"/>
    <w:rsid w:val="001846EE"/>
    <w:rsid w:val="0018722E"/>
    <w:rsid w:val="0019185D"/>
    <w:rsid w:val="00191D6A"/>
    <w:rsid w:val="0019393E"/>
    <w:rsid w:val="00194466"/>
    <w:rsid w:val="00194D88"/>
    <w:rsid w:val="001957D8"/>
    <w:rsid w:val="001A5847"/>
    <w:rsid w:val="001A6544"/>
    <w:rsid w:val="001B42FB"/>
    <w:rsid w:val="001B548E"/>
    <w:rsid w:val="001B56BB"/>
    <w:rsid w:val="001B7DB4"/>
    <w:rsid w:val="001C2E67"/>
    <w:rsid w:val="001C7AC6"/>
    <w:rsid w:val="001D6108"/>
    <w:rsid w:val="001E0EA8"/>
    <w:rsid w:val="001E1055"/>
    <w:rsid w:val="001E119E"/>
    <w:rsid w:val="001E42A5"/>
    <w:rsid w:val="001E5873"/>
    <w:rsid w:val="001E76C4"/>
    <w:rsid w:val="001E7F7E"/>
    <w:rsid w:val="001F020E"/>
    <w:rsid w:val="001F27FB"/>
    <w:rsid w:val="001F3141"/>
    <w:rsid w:val="001F3983"/>
    <w:rsid w:val="001F4151"/>
    <w:rsid w:val="001F4C2B"/>
    <w:rsid w:val="0020672F"/>
    <w:rsid w:val="0021020B"/>
    <w:rsid w:val="00214F2C"/>
    <w:rsid w:val="00215224"/>
    <w:rsid w:val="002165C1"/>
    <w:rsid w:val="00216B3F"/>
    <w:rsid w:val="0021729F"/>
    <w:rsid w:val="00222373"/>
    <w:rsid w:val="00223BFF"/>
    <w:rsid w:val="00227D7C"/>
    <w:rsid w:val="00232507"/>
    <w:rsid w:val="00260746"/>
    <w:rsid w:val="00263310"/>
    <w:rsid w:val="002657EB"/>
    <w:rsid w:val="002666AC"/>
    <w:rsid w:val="00267F64"/>
    <w:rsid w:val="002748CC"/>
    <w:rsid w:val="00296D55"/>
    <w:rsid w:val="002A1DB3"/>
    <w:rsid w:val="002A26C6"/>
    <w:rsid w:val="002B1ECA"/>
    <w:rsid w:val="002B2049"/>
    <w:rsid w:val="002C0170"/>
    <w:rsid w:val="002C4BF0"/>
    <w:rsid w:val="002D0AB8"/>
    <w:rsid w:val="002D0F21"/>
    <w:rsid w:val="002D1DD7"/>
    <w:rsid w:val="002D2D89"/>
    <w:rsid w:val="002D4AAA"/>
    <w:rsid w:val="002E0F23"/>
    <w:rsid w:val="002E2FD9"/>
    <w:rsid w:val="002E344F"/>
    <w:rsid w:val="002E4CE2"/>
    <w:rsid w:val="002E7E60"/>
    <w:rsid w:val="002F3573"/>
    <w:rsid w:val="002F4D80"/>
    <w:rsid w:val="002F73E3"/>
    <w:rsid w:val="0030357F"/>
    <w:rsid w:val="0030482E"/>
    <w:rsid w:val="00305CBF"/>
    <w:rsid w:val="00307A77"/>
    <w:rsid w:val="00327919"/>
    <w:rsid w:val="003279A7"/>
    <w:rsid w:val="003306D2"/>
    <w:rsid w:val="0033358C"/>
    <w:rsid w:val="00335190"/>
    <w:rsid w:val="003416EC"/>
    <w:rsid w:val="00341793"/>
    <w:rsid w:val="003508EC"/>
    <w:rsid w:val="00352EE3"/>
    <w:rsid w:val="00355398"/>
    <w:rsid w:val="00375FF6"/>
    <w:rsid w:val="0037703D"/>
    <w:rsid w:val="00377308"/>
    <w:rsid w:val="003939B1"/>
    <w:rsid w:val="003A30C6"/>
    <w:rsid w:val="003B0FFE"/>
    <w:rsid w:val="003B4A82"/>
    <w:rsid w:val="003B7882"/>
    <w:rsid w:val="003B79FF"/>
    <w:rsid w:val="003C0E39"/>
    <w:rsid w:val="003D1ADF"/>
    <w:rsid w:val="003E0106"/>
    <w:rsid w:val="003E082B"/>
    <w:rsid w:val="003E24B9"/>
    <w:rsid w:val="003E6DC0"/>
    <w:rsid w:val="003F51B4"/>
    <w:rsid w:val="003F6A8F"/>
    <w:rsid w:val="003F6FDD"/>
    <w:rsid w:val="003F7E1E"/>
    <w:rsid w:val="00404054"/>
    <w:rsid w:val="004043A1"/>
    <w:rsid w:val="0041015D"/>
    <w:rsid w:val="00410DC5"/>
    <w:rsid w:val="00416D95"/>
    <w:rsid w:val="0042019D"/>
    <w:rsid w:val="0042337F"/>
    <w:rsid w:val="004342BE"/>
    <w:rsid w:val="00453D19"/>
    <w:rsid w:val="004546B2"/>
    <w:rsid w:val="00465D1D"/>
    <w:rsid w:val="004841BC"/>
    <w:rsid w:val="004862C7"/>
    <w:rsid w:val="00495271"/>
    <w:rsid w:val="004A7963"/>
    <w:rsid w:val="004B0A93"/>
    <w:rsid w:val="004C59D3"/>
    <w:rsid w:val="004D1D50"/>
    <w:rsid w:val="004D3C41"/>
    <w:rsid w:val="004D57C4"/>
    <w:rsid w:val="004D5B3D"/>
    <w:rsid w:val="004E0854"/>
    <w:rsid w:val="004F22B0"/>
    <w:rsid w:val="004F24F6"/>
    <w:rsid w:val="004F3D0B"/>
    <w:rsid w:val="004F429D"/>
    <w:rsid w:val="004F6CD3"/>
    <w:rsid w:val="004F73A9"/>
    <w:rsid w:val="004F7C0F"/>
    <w:rsid w:val="00504D2E"/>
    <w:rsid w:val="005058BB"/>
    <w:rsid w:val="00506F6E"/>
    <w:rsid w:val="005136B1"/>
    <w:rsid w:val="00513EE0"/>
    <w:rsid w:val="005169A1"/>
    <w:rsid w:val="00527321"/>
    <w:rsid w:val="00532A6F"/>
    <w:rsid w:val="00536ABA"/>
    <w:rsid w:val="005541C6"/>
    <w:rsid w:val="00556839"/>
    <w:rsid w:val="00563CE2"/>
    <w:rsid w:val="00565638"/>
    <w:rsid w:val="00573DCA"/>
    <w:rsid w:val="0058599B"/>
    <w:rsid w:val="00586429"/>
    <w:rsid w:val="00595E01"/>
    <w:rsid w:val="005B1B21"/>
    <w:rsid w:val="005C36D7"/>
    <w:rsid w:val="005C4EE9"/>
    <w:rsid w:val="005C5CB5"/>
    <w:rsid w:val="005D2F53"/>
    <w:rsid w:val="005D42AC"/>
    <w:rsid w:val="005D7473"/>
    <w:rsid w:val="005E0E38"/>
    <w:rsid w:val="005E779E"/>
    <w:rsid w:val="00601736"/>
    <w:rsid w:val="00605129"/>
    <w:rsid w:val="006062F9"/>
    <w:rsid w:val="00610CFD"/>
    <w:rsid w:val="00614486"/>
    <w:rsid w:val="006165D5"/>
    <w:rsid w:val="00616F48"/>
    <w:rsid w:val="006179EB"/>
    <w:rsid w:val="00620B7D"/>
    <w:rsid w:val="006230E0"/>
    <w:rsid w:val="00626DB3"/>
    <w:rsid w:val="00627F26"/>
    <w:rsid w:val="00633302"/>
    <w:rsid w:val="00636217"/>
    <w:rsid w:val="00644BAB"/>
    <w:rsid w:val="00644C50"/>
    <w:rsid w:val="006504B2"/>
    <w:rsid w:val="006511D7"/>
    <w:rsid w:val="00654535"/>
    <w:rsid w:val="00662B3E"/>
    <w:rsid w:val="00666EB6"/>
    <w:rsid w:val="006809B1"/>
    <w:rsid w:val="006904AF"/>
    <w:rsid w:val="006A0901"/>
    <w:rsid w:val="006A2038"/>
    <w:rsid w:val="006A2854"/>
    <w:rsid w:val="006A50FD"/>
    <w:rsid w:val="006A7862"/>
    <w:rsid w:val="006B390D"/>
    <w:rsid w:val="006C6D44"/>
    <w:rsid w:val="006D1FCF"/>
    <w:rsid w:val="006D57CC"/>
    <w:rsid w:val="006F03CD"/>
    <w:rsid w:val="006F0E97"/>
    <w:rsid w:val="006F3104"/>
    <w:rsid w:val="006F5A2B"/>
    <w:rsid w:val="0070058C"/>
    <w:rsid w:val="00700B9F"/>
    <w:rsid w:val="007313CB"/>
    <w:rsid w:val="00731B0C"/>
    <w:rsid w:val="0073261F"/>
    <w:rsid w:val="00732665"/>
    <w:rsid w:val="007361D4"/>
    <w:rsid w:val="007508C2"/>
    <w:rsid w:val="00753ADF"/>
    <w:rsid w:val="0076144A"/>
    <w:rsid w:val="007637B8"/>
    <w:rsid w:val="00765390"/>
    <w:rsid w:val="007765C8"/>
    <w:rsid w:val="00777DD9"/>
    <w:rsid w:val="00795B67"/>
    <w:rsid w:val="00796976"/>
    <w:rsid w:val="007A2EBF"/>
    <w:rsid w:val="007B1098"/>
    <w:rsid w:val="007B2D5B"/>
    <w:rsid w:val="007C7BAC"/>
    <w:rsid w:val="007D3456"/>
    <w:rsid w:val="007D461C"/>
    <w:rsid w:val="007D61AF"/>
    <w:rsid w:val="007D7DC6"/>
    <w:rsid w:val="007E640A"/>
    <w:rsid w:val="00803F7F"/>
    <w:rsid w:val="00810A10"/>
    <w:rsid w:val="008113AC"/>
    <w:rsid w:val="0081305F"/>
    <w:rsid w:val="0081751D"/>
    <w:rsid w:val="00821BA5"/>
    <w:rsid w:val="00827D21"/>
    <w:rsid w:val="008305F8"/>
    <w:rsid w:val="00832393"/>
    <w:rsid w:val="00834F9D"/>
    <w:rsid w:val="00841A87"/>
    <w:rsid w:val="008431C0"/>
    <w:rsid w:val="008458E3"/>
    <w:rsid w:val="008501F1"/>
    <w:rsid w:val="00854911"/>
    <w:rsid w:val="0085683E"/>
    <w:rsid w:val="008718C1"/>
    <w:rsid w:val="008742FE"/>
    <w:rsid w:val="00876BA5"/>
    <w:rsid w:val="00883CFF"/>
    <w:rsid w:val="00884A7A"/>
    <w:rsid w:val="008A71EA"/>
    <w:rsid w:val="008B6B62"/>
    <w:rsid w:val="008C0121"/>
    <w:rsid w:val="008C0927"/>
    <w:rsid w:val="008C3639"/>
    <w:rsid w:val="008C41E7"/>
    <w:rsid w:val="008D0882"/>
    <w:rsid w:val="008D1D8A"/>
    <w:rsid w:val="008F68BC"/>
    <w:rsid w:val="00902A74"/>
    <w:rsid w:val="009032EC"/>
    <w:rsid w:val="00903970"/>
    <w:rsid w:val="00904827"/>
    <w:rsid w:val="00907E98"/>
    <w:rsid w:val="00920B00"/>
    <w:rsid w:val="009261DA"/>
    <w:rsid w:val="00940386"/>
    <w:rsid w:val="0094402C"/>
    <w:rsid w:val="009451EE"/>
    <w:rsid w:val="0095077E"/>
    <w:rsid w:val="00950B44"/>
    <w:rsid w:val="00951E90"/>
    <w:rsid w:val="00962B0C"/>
    <w:rsid w:val="00964D5D"/>
    <w:rsid w:val="00973F9E"/>
    <w:rsid w:val="0097645F"/>
    <w:rsid w:val="0098421F"/>
    <w:rsid w:val="00992AC1"/>
    <w:rsid w:val="00992AF1"/>
    <w:rsid w:val="0099682A"/>
    <w:rsid w:val="009B03A1"/>
    <w:rsid w:val="009B4B1B"/>
    <w:rsid w:val="009C12EB"/>
    <w:rsid w:val="009D3BBC"/>
    <w:rsid w:val="009E073E"/>
    <w:rsid w:val="009F5A61"/>
    <w:rsid w:val="00A056C0"/>
    <w:rsid w:val="00A103B5"/>
    <w:rsid w:val="00A10FF8"/>
    <w:rsid w:val="00A11C93"/>
    <w:rsid w:val="00A12014"/>
    <w:rsid w:val="00A15758"/>
    <w:rsid w:val="00A15D30"/>
    <w:rsid w:val="00A164A4"/>
    <w:rsid w:val="00A22A49"/>
    <w:rsid w:val="00A25578"/>
    <w:rsid w:val="00A27310"/>
    <w:rsid w:val="00A3104B"/>
    <w:rsid w:val="00A35FA7"/>
    <w:rsid w:val="00A42F27"/>
    <w:rsid w:val="00A45A55"/>
    <w:rsid w:val="00A518F4"/>
    <w:rsid w:val="00A540BC"/>
    <w:rsid w:val="00A54F49"/>
    <w:rsid w:val="00A60E40"/>
    <w:rsid w:val="00A62F0F"/>
    <w:rsid w:val="00A73F09"/>
    <w:rsid w:val="00A75F63"/>
    <w:rsid w:val="00A82A50"/>
    <w:rsid w:val="00A900BD"/>
    <w:rsid w:val="00A90ADF"/>
    <w:rsid w:val="00A93DBB"/>
    <w:rsid w:val="00A945E6"/>
    <w:rsid w:val="00A97207"/>
    <w:rsid w:val="00A9764D"/>
    <w:rsid w:val="00AA069C"/>
    <w:rsid w:val="00AA5D27"/>
    <w:rsid w:val="00AE79AD"/>
    <w:rsid w:val="00AF3D41"/>
    <w:rsid w:val="00AF4503"/>
    <w:rsid w:val="00B04E75"/>
    <w:rsid w:val="00B1303A"/>
    <w:rsid w:val="00B23E9F"/>
    <w:rsid w:val="00B50C90"/>
    <w:rsid w:val="00B55E2A"/>
    <w:rsid w:val="00B56713"/>
    <w:rsid w:val="00B6575B"/>
    <w:rsid w:val="00B70E27"/>
    <w:rsid w:val="00B76F4B"/>
    <w:rsid w:val="00B77C7E"/>
    <w:rsid w:val="00B83E0B"/>
    <w:rsid w:val="00B87BC5"/>
    <w:rsid w:val="00B932CC"/>
    <w:rsid w:val="00B952CF"/>
    <w:rsid w:val="00BA1CD7"/>
    <w:rsid w:val="00BA3990"/>
    <w:rsid w:val="00BA4F3C"/>
    <w:rsid w:val="00BA7BF0"/>
    <w:rsid w:val="00BB5388"/>
    <w:rsid w:val="00BC2FB3"/>
    <w:rsid w:val="00BC4656"/>
    <w:rsid w:val="00BC7260"/>
    <w:rsid w:val="00BD596D"/>
    <w:rsid w:val="00BE17C6"/>
    <w:rsid w:val="00BE47BE"/>
    <w:rsid w:val="00BE66B8"/>
    <w:rsid w:val="00BF1F09"/>
    <w:rsid w:val="00BF5C5C"/>
    <w:rsid w:val="00BF7788"/>
    <w:rsid w:val="00C01A88"/>
    <w:rsid w:val="00C01E42"/>
    <w:rsid w:val="00C063B8"/>
    <w:rsid w:val="00C06D1D"/>
    <w:rsid w:val="00C07043"/>
    <w:rsid w:val="00C11105"/>
    <w:rsid w:val="00C166EF"/>
    <w:rsid w:val="00C21E86"/>
    <w:rsid w:val="00C260F6"/>
    <w:rsid w:val="00C266CC"/>
    <w:rsid w:val="00C37497"/>
    <w:rsid w:val="00C40F16"/>
    <w:rsid w:val="00C46252"/>
    <w:rsid w:val="00C543AE"/>
    <w:rsid w:val="00C54D1E"/>
    <w:rsid w:val="00C612E0"/>
    <w:rsid w:val="00C61511"/>
    <w:rsid w:val="00C639D1"/>
    <w:rsid w:val="00C63C2C"/>
    <w:rsid w:val="00C644B2"/>
    <w:rsid w:val="00C70718"/>
    <w:rsid w:val="00C824D7"/>
    <w:rsid w:val="00C87FE1"/>
    <w:rsid w:val="00C95F88"/>
    <w:rsid w:val="00CA00B1"/>
    <w:rsid w:val="00CA1542"/>
    <w:rsid w:val="00CA56E4"/>
    <w:rsid w:val="00CB2D35"/>
    <w:rsid w:val="00CC1721"/>
    <w:rsid w:val="00CC4BDB"/>
    <w:rsid w:val="00CD1CC5"/>
    <w:rsid w:val="00CD338B"/>
    <w:rsid w:val="00CD5C24"/>
    <w:rsid w:val="00CD7CA0"/>
    <w:rsid w:val="00CE573E"/>
    <w:rsid w:val="00CE596B"/>
    <w:rsid w:val="00CE7E2F"/>
    <w:rsid w:val="00CF2D13"/>
    <w:rsid w:val="00CF57AD"/>
    <w:rsid w:val="00D10A59"/>
    <w:rsid w:val="00D128E8"/>
    <w:rsid w:val="00D1523D"/>
    <w:rsid w:val="00D20C41"/>
    <w:rsid w:val="00D23F65"/>
    <w:rsid w:val="00D2471A"/>
    <w:rsid w:val="00D33ED2"/>
    <w:rsid w:val="00D43AC5"/>
    <w:rsid w:val="00D5174D"/>
    <w:rsid w:val="00D51B1F"/>
    <w:rsid w:val="00D53809"/>
    <w:rsid w:val="00D55216"/>
    <w:rsid w:val="00D6063E"/>
    <w:rsid w:val="00D606EE"/>
    <w:rsid w:val="00D61459"/>
    <w:rsid w:val="00D626BC"/>
    <w:rsid w:val="00D636F8"/>
    <w:rsid w:val="00D6398F"/>
    <w:rsid w:val="00D77395"/>
    <w:rsid w:val="00D85258"/>
    <w:rsid w:val="00D85BDB"/>
    <w:rsid w:val="00D876C0"/>
    <w:rsid w:val="00D90E27"/>
    <w:rsid w:val="00D935B8"/>
    <w:rsid w:val="00DB136F"/>
    <w:rsid w:val="00DB7AD9"/>
    <w:rsid w:val="00DC4A44"/>
    <w:rsid w:val="00DD0E9B"/>
    <w:rsid w:val="00DD7A96"/>
    <w:rsid w:val="00DE3622"/>
    <w:rsid w:val="00DE4AF9"/>
    <w:rsid w:val="00DE7564"/>
    <w:rsid w:val="00DF0E58"/>
    <w:rsid w:val="00DF141A"/>
    <w:rsid w:val="00DF5417"/>
    <w:rsid w:val="00E00ABB"/>
    <w:rsid w:val="00E13D2B"/>
    <w:rsid w:val="00E15FE9"/>
    <w:rsid w:val="00E25B7F"/>
    <w:rsid w:val="00E307B8"/>
    <w:rsid w:val="00E32C98"/>
    <w:rsid w:val="00E33442"/>
    <w:rsid w:val="00E3546E"/>
    <w:rsid w:val="00E426F1"/>
    <w:rsid w:val="00E472DC"/>
    <w:rsid w:val="00E51B45"/>
    <w:rsid w:val="00E55B60"/>
    <w:rsid w:val="00E6173D"/>
    <w:rsid w:val="00E66478"/>
    <w:rsid w:val="00E77B1A"/>
    <w:rsid w:val="00E77E99"/>
    <w:rsid w:val="00E8184C"/>
    <w:rsid w:val="00E818CB"/>
    <w:rsid w:val="00E81EAA"/>
    <w:rsid w:val="00ED326D"/>
    <w:rsid w:val="00ED3325"/>
    <w:rsid w:val="00ED68BD"/>
    <w:rsid w:val="00EE1440"/>
    <w:rsid w:val="00F002FE"/>
    <w:rsid w:val="00F056E1"/>
    <w:rsid w:val="00F05986"/>
    <w:rsid w:val="00F10FB9"/>
    <w:rsid w:val="00F12110"/>
    <w:rsid w:val="00F156CB"/>
    <w:rsid w:val="00F23E78"/>
    <w:rsid w:val="00F26900"/>
    <w:rsid w:val="00F31F21"/>
    <w:rsid w:val="00F321FD"/>
    <w:rsid w:val="00F32F0F"/>
    <w:rsid w:val="00F345A5"/>
    <w:rsid w:val="00F41585"/>
    <w:rsid w:val="00F50C2B"/>
    <w:rsid w:val="00F55D0C"/>
    <w:rsid w:val="00F60BE4"/>
    <w:rsid w:val="00F768FC"/>
    <w:rsid w:val="00F819F1"/>
    <w:rsid w:val="00F860BF"/>
    <w:rsid w:val="00F933A4"/>
    <w:rsid w:val="00F97868"/>
    <w:rsid w:val="00FA4447"/>
    <w:rsid w:val="00FA473E"/>
    <w:rsid w:val="00FA5605"/>
    <w:rsid w:val="00FC0E4F"/>
    <w:rsid w:val="00FC66CB"/>
    <w:rsid w:val="00FD35DC"/>
    <w:rsid w:val="00FD5C3C"/>
    <w:rsid w:val="00FD6820"/>
    <w:rsid w:val="00FE0D3B"/>
    <w:rsid w:val="00FE3ACA"/>
    <w:rsid w:val="00FE3BAB"/>
    <w:rsid w:val="00FF1F1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3E"/>
    <w:rPr>
      <w:lang w:val="en-US"/>
    </w:rPr>
  </w:style>
  <w:style w:type="paragraph" w:styleId="Naslov1">
    <w:name w:val="heading 1"/>
    <w:basedOn w:val="Normal"/>
    <w:next w:val="Normal"/>
    <w:qFormat/>
    <w:rsid w:val="00CE573E"/>
    <w:pPr>
      <w:keepNext/>
      <w:ind w:left="567"/>
      <w:jc w:val="center"/>
      <w:outlineLvl w:val="0"/>
    </w:pPr>
    <w:rPr>
      <w:rFonts w:ascii="Arial" w:hAnsi="Arial"/>
      <w:b/>
    </w:rPr>
  </w:style>
  <w:style w:type="paragraph" w:styleId="Naslov2">
    <w:name w:val="heading 2"/>
    <w:basedOn w:val="Normal"/>
    <w:next w:val="Normal"/>
    <w:qFormat/>
    <w:rsid w:val="00CE573E"/>
    <w:pPr>
      <w:keepNext/>
      <w:ind w:left="567"/>
      <w:outlineLvl w:val="1"/>
    </w:pPr>
    <w:rPr>
      <w:rFonts w:ascii="Arial" w:hAnsi="Arial"/>
      <w:b/>
    </w:rPr>
  </w:style>
  <w:style w:type="paragraph" w:styleId="Naslov3">
    <w:name w:val="heading 3"/>
    <w:basedOn w:val="Normal"/>
    <w:next w:val="Normal"/>
    <w:qFormat/>
    <w:rsid w:val="00CE573E"/>
    <w:pPr>
      <w:keepNext/>
      <w:ind w:left="720"/>
      <w:outlineLvl w:val="2"/>
    </w:pPr>
    <w:rPr>
      <w:rFonts w:ascii="Arial" w:hAnsi="Arial"/>
      <w:b/>
    </w:rPr>
  </w:style>
  <w:style w:type="paragraph" w:styleId="Naslov4">
    <w:name w:val="heading 4"/>
    <w:basedOn w:val="Normal"/>
    <w:next w:val="Normal"/>
    <w:qFormat/>
    <w:rsid w:val="00CE573E"/>
    <w:pPr>
      <w:keepNext/>
      <w:numPr>
        <w:numId w:val="2"/>
      </w:numPr>
      <w:outlineLvl w:val="3"/>
    </w:pPr>
    <w:rPr>
      <w:rFonts w:ascii="Arial" w:hAnsi="Arial"/>
      <w:b/>
    </w:rPr>
  </w:style>
  <w:style w:type="paragraph" w:styleId="Naslov5">
    <w:name w:val="heading 5"/>
    <w:basedOn w:val="Normal"/>
    <w:next w:val="Normal"/>
    <w:qFormat/>
    <w:rsid w:val="00CE573E"/>
    <w:pPr>
      <w:keepNext/>
      <w:ind w:left="709" w:hanging="709"/>
      <w:outlineLvl w:val="4"/>
    </w:pPr>
    <w:rPr>
      <w:rFonts w:ascii="Arial" w:hAnsi="Arial"/>
      <w:b/>
    </w:rPr>
  </w:style>
  <w:style w:type="paragraph" w:styleId="Naslov6">
    <w:name w:val="heading 6"/>
    <w:basedOn w:val="Normal"/>
    <w:next w:val="Normal"/>
    <w:qFormat/>
    <w:rsid w:val="00CE573E"/>
    <w:pPr>
      <w:keepNext/>
      <w:ind w:left="567"/>
      <w:jc w:val="both"/>
      <w:outlineLvl w:val="5"/>
    </w:pPr>
    <w:rPr>
      <w:sz w:val="24"/>
      <w:lang w:val="hr-HR"/>
    </w:rPr>
  </w:style>
  <w:style w:type="paragraph" w:styleId="Naslov7">
    <w:name w:val="heading 7"/>
    <w:basedOn w:val="Normal"/>
    <w:next w:val="Normal"/>
    <w:qFormat/>
    <w:rsid w:val="00CE573E"/>
    <w:pPr>
      <w:keepNext/>
      <w:ind w:left="567"/>
      <w:jc w:val="center"/>
      <w:outlineLvl w:val="6"/>
    </w:pPr>
    <w:rPr>
      <w:b/>
      <w:sz w:val="32"/>
      <w:lang w:val="hr-HR"/>
    </w:rPr>
  </w:style>
  <w:style w:type="paragraph" w:styleId="Naslov8">
    <w:name w:val="heading 8"/>
    <w:basedOn w:val="Normal"/>
    <w:next w:val="Normal"/>
    <w:qFormat/>
    <w:rsid w:val="00CE573E"/>
    <w:pPr>
      <w:keepNext/>
      <w:ind w:left="567"/>
      <w:jc w:val="both"/>
      <w:outlineLvl w:val="7"/>
    </w:pPr>
    <w:rPr>
      <w:b/>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rsid w:val="00CE573E"/>
    <w:pPr>
      <w:ind w:left="709" w:hanging="709"/>
    </w:pPr>
    <w:rPr>
      <w:rFonts w:ascii="Arial" w:hAnsi="Arial"/>
    </w:rPr>
  </w:style>
  <w:style w:type="paragraph" w:styleId="Tijeloteksta-uvlaka2">
    <w:name w:val="Body Text Indent 2"/>
    <w:aliases w:val="  uvlaka 2"/>
    <w:basedOn w:val="Normal"/>
    <w:rsid w:val="00CE573E"/>
    <w:pPr>
      <w:ind w:left="720"/>
    </w:pPr>
    <w:rPr>
      <w:rFonts w:ascii="Arial" w:hAnsi="Arial"/>
    </w:rPr>
  </w:style>
  <w:style w:type="paragraph" w:styleId="Tijeloteksta-uvlaka3">
    <w:name w:val="Body Text Indent 3"/>
    <w:aliases w:val=" uvlaka 3"/>
    <w:basedOn w:val="Normal"/>
    <w:rsid w:val="00CE573E"/>
    <w:pPr>
      <w:ind w:left="720"/>
      <w:jc w:val="both"/>
    </w:pPr>
    <w:rPr>
      <w:rFonts w:ascii="Arial" w:hAnsi="Arial"/>
    </w:rPr>
  </w:style>
  <w:style w:type="paragraph" w:styleId="Tekstbalonia">
    <w:name w:val="Balloon Text"/>
    <w:basedOn w:val="Normal"/>
    <w:link w:val="TekstbaloniaChar"/>
    <w:uiPriority w:val="99"/>
    <w:semiHidden/>
    <w:unhideWhenUsed/>
    <w:rsid w:val="00F50C2B"/>
    <w:rPr>
      <w:rFonts w:ascii="Tahoma" w:hAnsi="Tahoma" w:cs="Tahoma"/>
      <w:sz w:val="16"/>
      <w:szCs w:val="16"/>
    </w:rPr>
  </w:style>
  <w:style w:type="character" w:customStyle="1" w:styleId="TekstbaloniaChar">
    <w:name w:val="Tekst balončića Char"/>
    <w:basedOn w:val="Zadanifontodlomka"/>
    <w:link w:val="Tekstbalonia"/>
    <w:uiPriority w:val="99"/>
    <w:semiHidden/>
    <w:rsid w:val="00F50C2B"/>
    <w:rPr>
      <w:rFonts w:ascii="Tahoma" w:hAnsi="Tahoma" w:cs="Tahoma"/>
      <w:sz w:val="16"/>
      <w:szCs w:val="16"/>
      <w:lang w:val="en-US"/>
    </w:rPr>
  </w:style>
  <w:style w:type="paragraph" w:styleId="Odlomakpopisa">
    <w:name w:val="List Paragraph"/>
    <w:basedOn w:val="Normal"/>
    <w:uiPriority w:val="34"/>
    <w:qFormat/>
    <w:rsid w:val="00D876C0"/>
    <w:pPr>
      <w:ind w:left="720"/>
      <w:contextualSpacing/>
    </w:pPr>
  </w:style>
  <w:style w:type="table" w:styleId="Reetkatablice">
    <w:name w:val="Table Grid"/>
    <w:basedOn w:val="Obinatablica"/>
    <w:uiPriority w:val="59"/>
    <w:rsid w:val="00ED6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semiHidden/>
    <w:unhideWhenUsed/>
    <w:rsid w:val="00992AC1"/>
    <w:pPr>
      <w:tabs>
        <w:tab w:val="center" w:pos="4536"/>
        <w:tab w:val="right" w:pos="9072"/>
      </w:tabs>
    </w:pPr>
  </w:style>
  <w:style w:type="character" w:customStyle="1" w:styleId="ZaglavljeChar">
    <w:name w:val="Zaglavlje Char"/>
    <w:basedOn w:val="Zadanifontodlomka"/>
    <w:link w:val="Zaglavlje"/>
    <w:uiPriority w:val="99"/>
    <w:semiHidden/>
    <w:rsid w:val="00992AC1"/>
    <w:rPr>
      <w:lang w:val="en-US"/>
    </w:rPr>
  </w:style>
  <w:style w:type="paragraph" w:styleId="Podnoje">
    <w:name w:val="footer"/>
    <w:basedOn w:val="Normal"/>
    <w:link w:val="PodnojeChar"/>
    <w:uiPriority w:val="99"/>
    <w:unhideWhenUsed/>
    <w:rsid w:val="00992AC1"/>
    <w:pPr>
      <w:tabs>
        <w:tab w:val="center" w:pos="4536"/>
        <w:tab w:val="right" w:pos="9072"/>
      </w:tabs>
    </w:pPr>
  </w:style>
  <w:style w:type="character" w:customStyle="1" w:styleId="PodnojeChar">
    <w:name w:val="Podnožje Char"/>
    <w:basedOn w:val="Zadanifontodlomka"/>
    <w:link w:val="Podnoje"/>
    <w:uiPriority w:val="99"/>
    <w:rsid w:val="00992AC1"/>
    <w:rPr>
      <w:lang w:val="en-US"/>
    </w:rPr>
  </w:style>
</w:styles>
</file>

<file path=word/webSettings.xml><?xml version="1.0" encoding="utf-8"?>
<w:webSettings xmlns:r="http://schemas.openxmlformats.org/officeDocument/2006/relationships" xmlns:w="http://schemas.openxmlformats.org/wordprocessingml/2006/main">
  <w:divs>
    <w:div w:id="6840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07E60-2745-4E87-ACFF-363EF9E6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2185</Words>
  <Characters>12460</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REPUBLIKA HRVATSKA</vt:lpstr>
    </vt:vector>
  </TitlesOfParts>
  <Company>Grad Ludbreg</Company>
  <LinksUpToDate>false</LinksUpToDate>
  <CharactersWithSpaces>14616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Josip</dc:creator>
  <cp:lastModifiedBy>Windows korisnik</cp:lastModifiedBy>
  <cp:revision>27</cp:revision>
  <cp:lastPrinted>2017-12-12T09:20:00Z</cp:lastPrinted>
  <dcterms:created xsi:type="dcterms:W3CDTF">2017-12-05T14:18:00Z</dcterms:created>
  <dcterms:modified xsi:type="dcterms:W3CDTF">2017-12-12T12:04:00Z</dcterms:modified>
</cp:coreProperties>
</file>